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DA0335">
      <w:pPr>
        <w:kinsoku w:val="0"/>
        <w:overflowPunct w:val="0"/>
        <w:autoSpaceDE/>
        <w:autoSpaceDN/>
        <w:adjustRightInd/>
        <w:spacing w:line="262" w:lineRule="exact"/>
        <w:jc w:val="center"/>
        <w:textAlignment w:val="baseline"/>
        <w:rPr>
          <w:b/>
          <w:bCs/>
          <w:sz w:val="24"/>
          <w:szCs w:val="24"/>
          <w:lang w:val="es-ES" w:eastAsia="es-ES"/>
        </w:rPr>
      </w:pPr>
      <w:r>
        <w:rPr>
          <w:b/>
          <w:bCs/>
          <w:sz w:val="24"/>
          <w:szCs w:val="24"/>
          <w:lang w:val="es-ES" w:eastAsia="es-ES"/>
        </w:rPr>
        <w:t>RESOLUCIÓN No. TAT-3288-2017</w:t>
      </w:r>
    </w:p>
    <w:p w:rsidR="00000000" w:rsidRDefault="00DA0335">
      <w:pPr>
        <w:kinsoku w:val="0"/>
        <w:overflowPunct w:val="0"/>
        <w:autoSpaceDE/>
        <w:autoSpaceDN/>
        <w:adjustRightInd/>
        <w:spacing w:before="647" w:line="272" w:lineRule="exact"/>
        <w:textAlignment w:val="baseline"/>
        <w:rPr>
          <w:sz w:val="24"/>
          <w:szCs w:val="24"/>
          <w:lang w:val="es-ES" w:eastAsia="es-ES"/>
        </w:rPr>
      </w:pPr>
      <w:r>
        <w:rPr>
          <w:b/>
          <w:bCs/>
          <w:sz w:val="24"/>
          <w:szCs w:val="24"/>
          <w:lang w:val="es-ES" w:eastAsia="es-ES"/>
        </w:rPr>
        <w:t xml:space="preserve">TRIBUNAL ADMINISTRATIVO DE TRANSPORTE. </w:t>
      </w:r>
      <w:r>
        <w:rPr>
          <w:sz w:val="24"/>
          <w:szCs w:val="24"/>
          <w:lang w:val="es-ES" w:eastAsia="es-ES"/>
        </w:rPr>
        <w:t>Curridabat, a las 10:31 horas del</w:t>
      </w:r>
    </w:p>
    <w:p w:rsidR="00000000" w:rsidRDefault="00DA0335">
      <w:pPr>
        <w:tabs>
          <w:tab w:val="left" w:leader="hyphen" w:pos="8856"/>
        </w:tabs>
        <w:kinsoku w:val="0"/>
        <w:overflowPunct w:val="0"/>
        <w:autoSpaceDE/>
        <w:autoSpaceDN/>
        <w:adjustRightInd/>
        <w:spacing w:before="48" w:line="272" w:lineRule="exact"/>
        <w:textAlignment w:val="baseline"/>
        <w:rPr>
          <w:sz w:val="24"/>
          <w:szCs w:val="24"/>
          <w:lang w:val="es-ES" w:eastAsia="es-ES"/>
        </w:rPr>
      </w:pPr>
      <w:r>
        <w:rPr>
          <w:sz w:val="24"/>
          <w:szCs w:val="24"/>
          <w:lang w:val="es-ES" w:eastAsia="es-ES"/>
        </w:rPr>
        <w:t>dí</w:t>
      </w:r>
      <w:r>
        <w:rPr>
          <w:sz w:val="24"/>
          <w:szCs w:val="24"/>
          <w:lang w:val="es-ES" w:eastAsia="es-ES"/>
        </w:rPr>
        <w:t>a Once de Julio del Dos Mil Diecisiete.</w:t>
      </w:r>
      <w:r>
        <w:rPr>
          <w:sz w:val="24"/>
          <w:szCs w:val="24"/>
          <w:lang w:val="es-ES" w:eastAsia="es-ES"/>
        </w:rPr>
        <w:tab/>
      </w:r>
    </w:p>
    <w:p w:rsidR="00000000" w:rsidRDefault="00DA0335">
      <w:pPr>
        <w:kinsoku w:val="0"/>
        <w:overflowPunct w:val="0"/>
        <w:autoSpaceDE/>
        <w:autoSpaceDN/>
        <w:adjustRightInd/>
        <w:spacing w:before="315" w:line="318" w:lineRule="exact"/>
        <w:ind w:right="936"/>
        <w:jc w:val="both"/>
        <w:textAlignment w:val="baseline"/>
        <w:rPr>
          <w:b/>
          <w:bCs/>
          <w:i/>
          <w:iCs/>
          <w:sz w:val="24"/>
          <w:szCs w:val="24"/>
          <w:lang w:val="es-ES" w:eastAsia="es-ES"/>
        </w:rPr>
      </w:pPr>
      <w:r>
        <w:rPr>
          <w:sz w:val="24"/>
          <w:szCs w:val="24"/>
          <w:lang w:val="es-ES" w:eastAsia="es-ES"/>
        </w:rPr>
        <w:t xml:space="preserve">Se conoce de </w:t>
      </w:r>
      <w:r>
        <w:rPr>
          <w:b/>
          <w:bCs/>
          <w:sz w:val="24"/>
          <w:szCs w:val="24"/>
          <w:lang w:val="es-ES" w:eastAsia="es-ES"/>
        </w:rPr>
        <w:t xml:space="preserve">RECURSO DE APELACIÓN </w:t>
      </w:r>
      <w:r>
        <w:rPr>
          <w:b/>
          <w:bCs/>
          <w:sz w:val="19"/>
          <w:szCs w:val="19"/>
          <w:lang w:val="es-ES" w:eastAsia="es-ES"/>
        </w:rPr>
        <w:t xml:space="preserve">EN SUBSIDIO Y DE </w:t>
      </w:r>
      <w:r>
        <w:rPr>
          <w:b/>
          <w:bCs/>
          <w:sz w:val="24"/>
          <w:szCs w:val="24"/>
          <w:lang w:val="es-ES" w:eastAsia="es-ES"/>
        </w:rPr>
        <w:t xml:space="preserve">NULIDAD ABSOLUTA </w:t>
      </w:r>
      <w:r>
        <w:rPr>
          <w:b/>
          <w:bCs/>
          <w:sz w:val="19"/>
          <w:szCs w:val="19"/>
          <w:lang w:val="es-ES" w:eastAsia="es-ES"/>
        </w:rPr>
        <w:t xml:space="preserve">CONCOMITANTE, </w:t>
      </w:r>
      <w:r>
        <w:rPr>
          <w:sz w:val="24"/>
          <w:szCs w:val="24"/>
          <w:lang w:val="es-ES" w:eastAsia="es-ES"/>
        </w:rPr>
        <w:t xml:space="preserve">interpuestos por el Señor </w:t>
      </w:r>
      <w:r>
        <w:rPr>
          <w:b/>
          <w:bCs/>
          <w:sz w:val="24"/>
          <w:szCs w:val="24"/>
          <w:lang w:val="es-ES" w:eastAsia="es-ES"/>
        </w:rPr>
        <w:t>M.A.C.</w:t>
      </w:r>
      <w:r>
        <w:rPr>
          <w:b/>
          <w:bCs/>
          <w:sz w:val="24"/>
          <w:szCs w:val="24"/>
          <w:lang w:val="es-ES" w:eastAsia="es-ES"/>
        </w:rPr>
        <w:t xml:space="preserve">, </w:t>
      </w:r>
      <w:r>
        <w:rPr>
          <w:sz w:val="24"/>
          <w:szCs w:val="24"/>
          <w:lang w:val="es-ES" w:eastAsia="es-ES"/>
        </w:rPr>
        <w:t>de calidades conocidas y portador de la cédula de identidad número …</w:t>
      </w:r>
      <w:r>
        <w:rPr>
          <w:sz w:val="24"/>
          <w:szCs w:val="24"/>
          <w:lang w:val="es-ES" w:eastAsia="es-ES"/>
        </w:rPr>
        <w:t>, Conces</w:t>
      </w:r>
      <w:r>
        <w:rPr>
          <w:sz w:val="24"/>
          <w:szCs w:val="24"/>
          <w:lang w:val="es-ES" w:eastAsia="es-ES"/>
        </w:rPr>
        <w:t xml:space="preserve">ionario del Servicio Público de Taxi con la </w:t>
      </w:r>
      <w:r>
        <w:rPr>
          <w:b/>
          <w:bCs/>
          <w:sz w:val="24"/>
          <w:szCs w:val="24"/>
          <w:u w:val="single"/>
          <w:lang w:val="es-ES" w:eastAsia="es-ES"/>
        </w:rPr>
        <w:t>Placa TSJ-XXXX</w:t>
      </w:r>
      <w:r>
        <w:rPr>
          <w:b/>
          <w:bCs/>
          <w:sz w:val="24"/>
          <w:szCs w:val="24"/>
          <w:u w:val="single"/>
          <w:lang w:val="es-ES" w:eastAsia="es-ES"/>
        </w:rPr>
        <w:t>,</w:t>
      </w:r>
      <w:r>
        <w:rPr>
          <w:sz w:val="24"/>
          <w:szCs w:val="24"/>
          <w:lang w:val="es-ES" w:eastAsia="es-ES"/>
        </w:rPr>
        <w:t xml:space="preserve"> contra el </w:t>
      </w:r>
      <w:r>
        <w:rPr>
          <w:b/>
          <w:bCs/>
          <w:sz w:val="24"/>
          <w:szCs w:val="24"/>
          <w:lang w:val="es-ES" w:eastAsia="es-ES"/>
        </w:rPr>
        <w:t xml:space="preserve">Artículo 7.2.2 de la Sesión Ordinaria N. 65-2016, </w:t>
      </w:r>
      <w:r>
        <w:rPr>
          <w:sz w:val="24"/>
          <w:szCs w:val="24"/>
          <w:lang w:val="es-ES" w:eastAsia="es-ES"/>
        </w:rPr>
        <w:t xml:space="preserve">celebrada el 22 de Diciembre del 2016 por la Junta Directiva del Consejo de Transporte Público.- </w:t>
      </w:r>
      <w:r>
        <w:rPr>
          <w:b/>
          <w:bCs/>
          <w:i/>
          <w:iCs/>
          <w:sz w:val="24"/>
          <w:szCs w:val="24"/>
          <w:lang w:val="es-ES" w:eastAsia="es-ES"/>
        </w:rPr>
        <w:t>EXPEDIENTE ADMINISTRATIVO No. TAT-067-1</w:t>
      </w:r>
      <w:r>
        <w:rPr>
          <w:b/>
          <w:bCs/>
          <w:i/>
          <w:iCs/>
          <w:sz w:val="24"/>
          <w:szCs w:val="24"/>
          <w:lang w:val="es-ES" w:eastAsia="es-ES"/>
        </w:rPr>
        <w:t>7.</w:t>
      </w:r>
    </w:p>
    <w:p w:rsidR="00000000" w:rsidRDefault="00DA0335">
      <w:pPr>
        <w:kinsoku w:val="0"/>
        <w:overflowPunct w:val="0"/>
        <w:autoSpaceDE/>
        <w:autoSpaceDN/>
        <w:adjustRightInd/>
        <w:spacing w:before="314" w:line="278" w:lineRule="exact"/>
        <w:jc w:val="center"/>
        <w:textAlignment w:val="baseline"/>
        <w:rPr>
          <w:b/>
          <w:bCs/>
          <w:i/>
          <w:iCs/>
          <w:spacing w:val="1"/>
          <w:sz w:val="24"/>
          <w:szCs w:val="24"/>
          <w:lang w:val="es-ES" w:eastAsia="es-ES"/>
        </w:rPr>
      </w:pPr>
      <w:r>
        <w:rPr>
          <w:b/>
          <w:bCs/>
          <w:i/>
          <w:iCs/>
          <w:spacing w:val="1"/>
          <w:sz w:val="24"/>
          <w:szCs w:val="24"/>
          <w:lang w:val="es-ES" w:eastAsia="es-ES"/>
        </w:rPr>
        <w:t>Resultando</w:t>
      </w:r>
    </w:p>
    <w:p w:rsidR="00000000" w:rsidRDefault="00DA0335">
      <w:pPr>
        <w:kinsoku w:val="0"/>
        <w:overflowPunct w:val="0"/>
        <w:autoSpaceDE/>
        <w:autoSpaceDN/>
        <w:adjustRightInd/>
        <w:spacing w:before="262" w:line="318" w:lineRule="exact"/>
        <w:ind w:right="936"/>
        <w:jc w:val="both"/>
        <w:textAlignment w:val="baseline"/>
        <w:rPr>
          <w:spacing w:val="-2"/>
          <w:sz w:val="24"/>
          <w:szCs w:val="24"/>
          <w:lang w:val="es-ES" w:eastAsia="es-ES"/>
        </w:rPr>
      </w:pPr>
      <w:r>
        <w:rPr>
          <w:b/>
          <w:bCs/>
          <w:spacing w:val="-2"/>
          <w:sz w:val="24"/>
          <w:szCs w:val="24"/>
          <w:lang w:val="es-ES" w:eastAsia="es-ES"/>
        </w:rPr>
        <w:t xml:space="preserve">PRIMERO.- </w:t>
      </w:r>
      <w:r>
        <w:rPr>
          <w:spacing w:val="-2"/>
          <w:sz w:val="24"/>
          <w:szCs w:val="24"/>
          <w:lang w:val="es-ES" w:eastAsia="es-ES"/>
        </w:rPr>
        <w:t>Mediante su Acuerdo No. 7.2.2 de su Sesión Ordinaria No. 65-2016 del 22 de Diciembre del 2016, luego de un conducente Procedimiento Administrativo Ordinario (No. 2016-166-T, según folios 0042 y ss. del Expediente del Caso) y en virt</w:t>
      </w:r>
      <w:r>
        <w:rPr>
          <w:spacing w:val="-2"/>
          <w:sz w:val="24"/>
          <w:szCs w:val="24"/>
          <w:lang w:val="es-ES" w:eastAsia="es-ES"/>
        </w:rPr>
        <w:t xml:space="preserve">ud de lo recomendado por el Oficio DAJ 2016-004198 de su Dirección de Asuntos Jurídicos, la Junta Directiva del Consejo de Transporte Público dispuso Cancelar el Derecho de Concesión de Taxi Placas </w:t>
      </w:r>
      <w:r>
        <w:rPr>
          <w:b/>
          <w:bCs/>
          <w:spacing w:val="-2"/>
          <w:sz w:val="24"/>
          <w:szCs w:val="24"/>
          <w:u w:val="single"/>
          <w:lang w:val="es-ES" w:eastAsia="es-ES"/>
        </w:rPr>
        <w:t>TSJ-5359,</w:t>
      </w:r>
      <w:r>
        <w:rPr>
          <w:spacing w:val="-2"/>
          <w:sz w:val="24"/>
          <w:szCs w:val="24"/>
          <w:lang w:val="es-ES" w:eastAsia="es-ES"/>
        </w:rPr>
        <w:t xml:space="preserve"> a nombre del Señor </w:t>
      </w:r>
      <w:r>
        <w:rPr>
          <w:b/>
          <w:bCs/>
          <w:spacing w:val="-2"/>
          <w:sz w:val="24"/>
          <w:szCs w:val="24"/>
          <w:lang w:val="es-ES" w:eastAsia="es-ES"/>
        </w:rPr>
        <w:t>M.A.C.</w:t>
      </w:r>
      <w:r>
        <w:rPr>
          <w:b/>
          <w:bCs/>
          <w:spacing w:val="-2"/>
          <w:sz w:val="24"/>
          <w:szCs w:val="24"/>
          <w:lang w:val="es-ES" w:eastAsia="es-ES"/>
        </w:rPr>
        <w:t xml:space="preserve">, </w:t>
      </w:r>
      <w:r>
        <w:rPr>
          <w:spacing w:val="-2"/>
          <w:sz w:val="24"/>
          <w:szCs w:val="24"/>
          <w:lang w:val="es-ES" w:eastAsia="es-ES"/>
        </w:rPr>
        <w:t>hoy Re</w:t>
      </w:r>
      <w:r>
        <w:rPr>
          <w:spacing w:val="-2"/>
          <w:sz w:val="24"/>
          <w:szCs w:val="24"/>
          <w:lang w:val="es-ES" w:eastAsia="es-ES"/>
        </w:rPr>
        <w:t>currente.</w:t>
      </w:r>
    </w:p>
    <w:p w:rsidR="00000000" w:rsidRDefault="00DA0335">
      <w:pPr>
        <w:kinsoku w:val="0"/>
        <w:overflowPunct w:val="0"/>
        <w:autoSpaceDE/>
        <w:autoSpaceDN/>
        <w:adjustRightInd/>
        <w:spacing w:before="248" w:line="318" w:lineRule="exact"/>
        <w:ind w:right="936"/>
        <w:jc w:val="both"/>
        <w:textAlignment w:val="baseline"/>
        <w:rPr>
          <w:spacing w:val="-2"/>
          <w:sz w:val="24"/>
          <w:szCs w:val="24"/>
          <w:lang w:val="es-ES" w:eastAsia="es-ES"/>
        </w:rPr>
      </w:pPr>
      <w:r>
        <w:rPr>
          <w:b/>
          <w:bCs/>
          <w:spacing w:val="-2"/>
          <w:sz w:val="24"/>
          <w:szCs w:val="24"/>
          <w:lang w:val="es-ES" w:eastAsia="es-ES"/>
        </w:rPr>
        <w:t xml:space="preserve">SEGUNDO.- </w:t>
      </w:r>
      <w:r>
        <w:rPr>
          <w:spacing w:val="-2"/>
          <w:sz w:val="24"/>
          <w:szCs w:val="24"/>
          <w:lang w:val="es-ES" w:eastAsia="es-ES"/>
        </w:rPr>
        <w:t xml:space="preserve">Notificado que fuera del Acuerdo señalado en el Resultando precedente, mediante Memorial sin fecha, presentado al Expediente No. 337209 de la Ventanilla Única del Consejo de Transporte Público el día 19 de Enero del 2017, el Señor </w:t>
      </w:r>
      <w:r>
        <w:rPr>
          <w:b/>
          <w:bCs/>
          <w:spacing w:val="-2"/>
          <w:sz w:val="24"/>
          <w:szCs w:val="24"/>
          <w:lang w:val="es-ES" w:eastAsia="es-ES"/>
        </w:rPr>
        <w:t>A.C.</w:t>
      </w:r>
      <w:r>
        <w:rPr>
          <w:b/>
          <w:bCs/>
          <w:spacing w:val="-2"/>
          <w:sz w:val="24"/>
          <w:szCs w:val="24"/>
          <w:lang w:val="es-ES" w:eastAsia="es-ES"/>
        </w:rPr>
        <w:t xml:space="preserve"> </w:t>
      </w:r>
      <w:r>
        <w:rPr>
          <w:spacing w:val="-2"/>
          <w:sz w:val="24"/>
          <w:szCs w:val="24"/>
          <w:lang w:val="es-ES" w:eastAsia="es-ES"/>
        </w:rPr>
        <w:t xml:space="preserve">interpone formales Recursos Ordinarios de Revocatoria con Apelación en subsidio y Petición de Nulidad Absoluta concomitante contra el Acto </w:t>
      </w:r>
      <w:r>
        <w:rPr>
          <w:i/>
          <w:iCs/>
          <w:spacing w:val="-2"/>
          <w:sz w:val="24"/>
          <w:szCs w:val="24"/>
          <w:lang w:val="es-ES" w:eastAsia="es-ES"/>
        </w:rPr>
        <w:t xml:space="preserve">supra </w:t>
      </w:r>
      <w:r>
        <w:rPr>
          <w:spacing w:val="-2"/>
          <w:sz w:val="24"/>
          <w:szCs w:val="24"/>
          <w:lang w:val="es-ES" w:eastAsia="es-ES"/>
        </w:rPr>
        <w:t xml:space="preserve">señalado. Indicando, en lo general, que sí bien se Atrasó en el Cambio de Unidad </w:t>
      </w:r>
      <w:r>
        <w:rPr>
          <w:i/>
          <w:iCs/>
          <w:spacing w:val="-2"/>
          <w:sz w:val="24"/>
          <w:szCs w:val="24"/>
          <w:lang w:val="es-ES" w:eastAsia="es-ES"/>
        </w:rPr>
        <w:t>(por Modelo o Antigüed</w:t>
      </w:r>
      <w:r>
        <w:rPr>
          <w:i/>
          <w:iCs/>
          <w:spacing w:val="-2"/>
          <w:sz w:val="24"/>
          <w:szCs w:val="24"/>
          <w:lang w:val="es-ES" w:eastAsia="es-ES"/>
        </w:rPr>
        <w:t xml:space="preserve">ad), él </w:t>
      </w:r>
      <w:r>
        <w:rPr>
          <w:spacing w:val="-2"/>
          <w:sz w:val="24"/>
          <w:szCs w:val="24"/>
          <w:lang w:val="es-ES" w:eastAsia="es-ES"/>
        </w:rPr>
        <w:t>mismo no fue nunca de Mala Fe y que no se Afectó el Servicio Público, según lo que él explicara en el pertinente Procedimiento Administrativo llevado en relación al Caso. Y alegando que la Sanción Aplicada, según su Contrato de Concesión, es Excesi</w:t>
      </w:r>
      <w:r>
        <w:rPr>
          <w:spacing w:val="-2"/>
          <w:sz w:val="24"/>
          <w:szCs w:val="24"/>
          <w:lang w:val="es-ES" w:eastAsia="es-ES"/>
        </w:rPr>
        <w:t>va y Desproporcionada, toda vez que lo correspondiente sería solo una AMONESTACIÓN ESCRITA, por ser una Falta de Primera Vez, NO SANCIONADA CON CADUCIDAD O CANCELACIÓN DIRECTA.</w:t>
      </w:r>
    </w:p>
    <w:p w:rsidR="00000000" w:rsidRDefault="00DA0335" w:rsidP="00DA0335">
      <w:pPr>
        <w:kinsoku w:val="0"/>
        <w:overflowPunct w:val="0"/>
        <w:autoSpaceDE/>
        <w:autoSpaceDN/>
        <w:adjustRightInd/>
        <w:spacing w:before="283" w:after="196" w:line="318" w:lineRule="exact"/>
        <w:ind w:right="936"/>
        <w:jc w:val="both"/>
        <w:textAlignment w:val="baseline"/>
        <w:rPr>
          <w:sz w:val="24"/>
          <w:szCs w:val="24"/>
        </w:rPr>
        <w:sectPr w:rsidR="00000000">
          <w:pgSz w:w="12240" w:h="15840"/>
          <w:pgMar w:top="1360" w:right="662" w:bottom="344" w:left="1718" w:header="720" w:footer="720" w:gutter="0"/>
          <w:cols w:space="720"/>
          <w:noEndnote/>
        </w:sectPr>
      </w:pPr>
      <w:r>
        <w:rPr>
          <w:b/>
          <w:bCs/>
          <w:spacing w:val="-1"/>
          <w:sz w:val="24"/>
          <w:szCs w:val="24"/>
          <w:lang w:val="es-ES" w:eastAsia="es-ES"/>
        </w:rPr>
        <w:t xml:space="preserve">TERCERO.- </w:t>
      </w:r>
      <w:r>
        <w:rPr>
          <w:spacing w:val="-1"/>
          <w:sz w:val="24"/>
          <w:szCs w:val="24"/>
          <w:lang w:val="es-ES" w:eastAsia="es-ES"/>
        </w:rPr>
        <w:t>Luego de valorar la Revocatoria y a Nulidad concomitante de Primera Instancia, por medio de su Acuerdo No. 7.5.4 de su Sesión Ordinaria No. 20-2017 del 17 de</w:t>
      </w:r>
    </w:p>
    <w:p w:rsidR="00000000" w:rsidRDefault="00DA0335">
      <w:pPr>
        <w:kinsoku w:val="0"/>
        <w:overflowPunct w:val="0"/>
        <w:autoSpaceDE/>
        <w:autoSpaceDN/>
        <w:adjustRightInd/>
        <w:spacing w:before="1" w:line="311" w:lineRule="exact"/>
        <w:ind w:left="72" w:right="72"/>
        <w:jc w:val="both"/>
        <w:textAlignment w:val="baseline"/>
        <w:rPr>
          <w:sz w:val="24"/>
          <w:szCs w:val="24"/>
          <w:lang w:val="es-ES" w:eastAsia="es-ES"/>
        </w:rPr>
      </w:pPr>
      <w:r>
        <w:rPr>
          <w:sz w:val="24"/>
          <w:szCs w:val="24"/>
          <w:lang w:val="es-ES" w:eastAsia="es-ES"/>
        </w:rPr>
        <w:lastRenderedPageBreak/>
        <w:t>M</w:t>
      </w:r>
      <w:r>
        <w:rPr>
          <w:sz w:val="24"/>
          <w:szCs w:val="24"/>
          <w:lang w:val="es-ES" w:eastAsia="es-ES"/>
        </w:rPr>
        <w:t>ayo del 2017, la Junta Directiva del Consejo de Transporte Público determinó su Rechazo y la Elevación del Asunto para ante este Tribunal.</w:t>
      </w:r>
    </w:p>
    <w:p w:rsidR="00000000" w:rsidRDefault="00DA0335">
      <w:pPr>
        <w:kinsoku w:val="0"/>
        <w:overflowPunct w:val="0"/>
        <w:autoSpaceDE/>
        <w:autoSpaceDN/>
        <w:adjustRightInd/>
        <w:spacing w:before="282" w:line="311" w:lineRule="exact"/>
        <w:ind w:left="72" w:right="72"/>
        <w:jc w:val="both"/>
        <w:textAlignment w:val="baseline"/>
        <w:rPr>
          <w:sz w:val="24"/>
          <w:szCs w:val="24"/>
          <w:lang w:val="es-ES" w:eastAsia="es-ES"/>
        </w:rPr>
      </w:pPr>
      <w:r>
        <w:rPr>
          <w:b/>
          <w:bCs/>
          <w:sz w:val="24"/>
          <w:szCs w:val="24"/>
          <w:lang w:val="es-ES" w:eastAsia="es-ES"/>
        </w:rPr>
        <w:t xml:space="preserve">CUARTO.- </w:t>
      </w:r>
      <w:r>
        <w:rPr>
          <w:sz w:val="24"/>
          <w:szCs w:val="24"/>
          <w:lang w:val="es-ES" w:eastAsia="es-ES"/>
        </w:rPr>
        <w:t>Conforme a lo anterior y en rigor de los Términos y Prescripciones de Ley, procede a cono</w:t>
      </w:r>
      <w:r>
        <w:rPr>
          <w:sz w:val="24"/>
          <w:szCs w:val="24"/>
          <w:lang w:val="es-ES" w:eastAsia="es-ES"/>
        </w:rPr>
        <w:t>cer este Tribunal.</w:t>
      </w:r>
    </w:p>
    <w:p w:rsidR="00000000" w:rsidRDefault="00DA0335">
      <w:pPr>
        <w:kinsoku w:val="0"/>
        <w:overflowPunct w:val="0"/>
        <w:autoSpaceDE/>
        <w:autoSpaceDN/>
        <w:adjustRightInd/>
        <w:spacing w:before="361" w:line="269" w:lineRule="exact"/>
        <w:ind w:left="72" w:right="72"/>
        <w:textAlignment w:val="baseline"/>
        <w:rPr>
          <w:b/>
          <w:bCs/>
          <w:i/>
          <w:iCs/>
          <w:sz w:val="24"/>
          <w:szCs w:val="24"/>
          <w:lang w:val="es-ES" w:eastAsia="es-ES"/>
        </w:rPr>
      </w:pPr>
      <w:r>
        <w:rPr>
          <w:b/>
          <w:bCs/>
          <w:i/>
          <w:iCs/>
          <w:sz w:val="24"/>
          <w:szCs w:val="24"/>
          <w:lang w:val="es-ES" w:eastAsia="es-ES"/>
        </w:rPr>
        <w:t>REDACTA EL JUEZ QUESADA AGUIRRE,</w:t>
      </w:r>
    </w:p>
    <w:p w:rsidR="00000000" w:rsidRDefault="00DA0335">
      <w:pPr>
        <w:kinsoku w:val="0"/>
        <w:overflowPunct w:val="0"/>
        <w:autoSpaceDE/>
        <w:autoSpaceDN/>
        <w:adjustRightInd/>
        <w:spacing w:before="327" w:line="269" w:lineRule="exact"/>
        <w:ind w:left="72" w:right="72"/>
        <w:jc w:val="center"/>
        <w:textAlignment w:val="baseline"/>
        <w:rPr>
          <w:b/>
          <w:bCs/>
          <w:i/>
          <w:iCs/>
          <w:spacing w:val="7"/>
          <w:sz w:val="24"/>
          <w:szCs w:val="24"/>
          <w:lang w:val="es-ES" w:eastAsia="es-ES"/>
        </w:rPr>
      </w:pPr>
      <w:r>
        <w:rPr>
          <w:b/>
          <w:bCs/>
          <w:i/>
          <w:iCs/>
          <w:spacing w:val="7"/>
          <w:sz w:val="24"/>
          <w:szCs w:val="24"/>
          <w:lang w:val="es-ES" w:eastAsia="es-ES"/>
        </w:rPr>
        <w:t>Considerando</w:t>
      </w:r>
    </w:p>
    <w:p w:rsidR="00000000" w:rsidRDefault="00DA0335">
      <w:pPr>
        <w:numPr>
          <w:ilvl w:val="0"/>
          <w:numId w:val="1"/>
        </w:numPr>
        <w:kinsoku w:val="0"/>
        <w:overflowPunct w:val="0"/>
        <w:autoSpaceDE/>
        <w:autoSpaceDN/>
        <w:adjustRightInd/>
        <w:spacing w:before="258" w:line="312" w:lineRule="exact"/>
        <w:ind w:right="72"/>
        <w:jc w:val="both"/>
        <w:textAlignment w:val="baseline"/>
        <w:rPr>
          <w:sz w:val="24"/>
          <w:szCs w:val="24"/>
          <w:lang w:eastAsia="en-US"/>
        </w:rPr>
      </w:pPr>
      <w:r>
        <w:rPr>
          <w:b/>
          <w:bCs/>
          <w:sz w:val="24"/>
          <w:szCs w:val="24"/>
          <w:lang w:val="es-ES" w:eastAsia="es-ES"/>
        </w:rPr>
        <w:t xml:space="preserve">SOBRE LA COMPETENCIA: </w:t>
      </w:r>
      <w:r>
        <w:rPr>
          <w:sz w:val="24"/>
          <w:szCs w:val="24"/>
          <w:lang w:val="es-ES" w:eastAsia="es-ES"/>
        </w:rPr>
        <w:t xml:space="preserve">El Tribunal Administrativo de Transporte es el Órgano Competente para conocer y resolver el presente </w:t>
      </w:r>
      <w:r>
        <w:rPr>
          <w:b/>
          <w:bCs/>
          <w:sz w:val="19"/>
          <w:szCs w:val="19"/>
          <w:lang w:val="es-ES" w:eastAsia="es-ES"/>
        </w:rPr>
        <w:t xml:space="preserve">RECURSO DE APELACIÓN </w:t>
      </w:r>
      <w:r>
        <w:rPr>
          <w:sz w:val="24"/>
          <w:szCs w:val="24"/>
          <w:lang w:val="es-ES" w:eastAsia="es-ES"/>
        </w:rPr>
        <w:t>de conformidad con el Artí</w:t>
      </w:r>
      <w:r>
        <w:rPr>
          <w:sz w:val="24"/>
          <w:szCs w:val="24"/>
          <w:lang w:val="es-ES" w:eastAsia="es-ES"/>
        </w:rPr>
        <w:t xml:space="preserve">culo 22 de la Ley Reguladora del Servicio Público de Transporte Remunerado de Personas en Vehículos en la Modalidad de Taxi, No. 7969 de 22 de Diciembre de 1999 y sus Reformas </w:t>
      </w:r>
      <w:r>
        <w:rPr>
          <w:i/>
          <w:iCs/>
          <w:sz w:val="24"/>
          <w:szCs w:val="24"/>
          <w:lang w:val="es-ES" w:eastAsia="es-ES"/>
        </w:rPr>
        <w:t xml:space="preserve">(Ley No. 8955); </w:t>
      </w:r>
      <w:r>
        <w:rPr>
          <w:sz w:val="24"/>
          <w:szCs w:val="24"/>
          <w:lang w:val="es-ES" w:eastAsia="es-ES"/>
        </w:rPr>
        <w:t>así como de la Nulidad concomitante, según los artículos 180 y 1</w:t>
      </w:r>
      <w:r>
        <w:rPr>
          <w:sz w:val="24"/>
          <w:szCs w:val="24"/>
          <w:lang w:val="es-ES" w:eastAsia="es-ES"/>
        </w:rPr>
        <w:t>81 de la LGAP.</w:t>
      </w:r>
      <w:r>
        <w:rPr>
          <w:sz w:val="24"/>
          <w:szCs w:val="24"/>
          <w:lang w:val="es-ES" w:eastAsia="es-ES"/>
        </w:rPr>
        <w:noBreakHyphen/>
      </w:r>
    </w:p>
    <w:p w:rsidR="00000000" w:rsidRDefault="00DA0335">
      <w:pPr>
        <w:numPr>
          <w:ilvl w:val="0"/>
          <w:numId w:val="1"/>
        </w:numPr>
        <w:kinsoku w:val="0"/>
        <w:overflowPunct w:val="0"/>
        <w:autoSpaceDE/>
        <w:autoSpaceDN/>
        <w:adjustRightInd/>
        <w:spacing w:before="302" w:line="313" w:lineRule="exact"/>
        <w:ind w:right="72"/>
        <w:jc w:val="both"/>
        <w:textAlignment w:val="baseline"/>
        <w:rPr>
          <w:sz w:val="24"/>
          <w:szCs w:val="24"/>
          <w:lang w:eastAsia="en-US"/>
        </w:rPr>
      </w:pPr>
      <w:r>
        <w:rPr>
          <w:b/>
          <w:bCs/>
          <w:sz w:val="24"/>
          <w:szCs w:val="24"/>
          <w:lang w:val="es-ES" w:eastAsia="es-ES"/>
        </w:rPr>
        <w:t xml:space="preserve">LA ADMISIBILIDAD DEL RECURSO: </w:t>
      </w:r>
      <w:r>
        <w:rPr>
          <w:b/>
          <w:bCs/>
          <w:sz w:val="24"/>
          <w:szCs w:val="24"/>
          <w:u w:val="single"/>
          <w:lang w:val="es-ES" w:eastAsia="es-ES"/>
        </w:rPr>
        <w:t>En cuanto a la Legitimación:</w:t>
      </w:r>
      <w:r>
        <w:rPr>
          <w:sz w:val="24"/>
          <w:szCs w:val="24"/>
          <w:lang w:val="es-ES" w:eastAsia="es-ES"/>
        </w:rPr>
        <w:t xml:space="preserve"> al Recurrente se le Cancela una Concesión de Taxi por NO realizar en Tiempo el Cambio de su Unidad Taxi en mérito de su Antigüedad, por lo que cuenta con la Legitimación necesaria p</w:t>
      </w:r>
      <w:r>
        <w:rPr>
          <w:sz w:val="24"/>
          <w:szCs w:val="24"/>
          <w:lang w:val="es-ES" w:eastAsia="es-ES"/>
        </w:rPr>
        <w:t xml:space="preserve">ara actuar en el presente asunto. </w:t>
      </w:r>
      <w:r>
        <w:rPr>
          <w:b/>
          <w:bCs/>
          <w:sz w:val="24"/>
          <w:szCs w:val="24"/>
          <w:u w:val="single"/>
          <w:lang w:val="es-ES" w:eastAsia="es-ES"/>
        </w:rPr>
        <w:t>En cuanto al Plazo:</w:t>
      </w:r>
      <w:r>
        <w:rPr>
          <w:sz w:val="24"/>
          <w:szCs w:val="24"/>
          <w:lang w:val="es-ES" w:eastAsia="es-ES"/>
        </w:rPr>
        <w:t xml:space="preserve"> Es preclaro que la Comunicación del Acuerdo Impugnado aludido se da el día 12 DE ENERO DEL 2017 </w:t>
      </w:r>
      <w:r>
        <w:rPr>
          <w:i/>
          <w:iCs/>
          <w:sz w:val="24"/>
          <w:szCs w:val="24"/>
          <w:lang w:val="es-ES" w:eastAsia="es-ES"/>
        </w:rPr>
        <w:t xml:space="preserve">(folio 0041 del Expediente del Caso). </w:t>
      </w:r>
      <w:r>
        <w:rPr>
          <w:sz w:val="24"/>
          <w:szCs w:val="24"/>
          <w:lang w:val="es-ES" w:eastAsia="es-ES"/>
        </w:rPr>
        <w:t xml:space="preserve">Lo cual opera en contraste con la Interposición de las Acciones por </w:t>
      </w:r>
      <w:r>
        <w:rPr>
          <w:sz w:val="24"/>
          <w:szCs w:val="24"/>
          <w:lang w:val="es-ES" w:eastAsia="es-ES"/>
        </w:rPr>
        <w:t xml:space="preserve">parte del Recurrente, el día 19 DE ENERO DEL 2017 </w:t>
      </w:r>
      <w:r>
        <w:rPr>
          <w:i/>
          <w:iCs/>
          <w:sz w:val="24"/>
          <w:szCs w:val="24"/>
          <w:lang w:val="es-ES" w:eastAsia="es-ES"/>
        </w:rPr>
        <w:t xml:space="preserve">(folio 0006 del Expediente del Caso), </w:t>
      </w:r>
      <w:r>
        <w:rPr>
          <w:sz w:val="24"/>
          <w:szCs w:val="24"/>
          <w:lang w:val="es-ES" w:eastAsia="es-ES"/>
        </w:rPr>
        <w:t xml:space="preserve">determinándose así que las Acciones Incoadas lo hayan sido en Tiempo. Razón por la que debe tenerse como establecido dentro del Plazo a que alude el Artículo No. 11 de </w:t>
      </w:r>
      <w:r>
        <w:rPr>
          <w:sz w:val="24"/>
          <w:szCs w:val="24"/>
          <w:lang w:val="es-ES" w:eastAsia="es-ES"/>
        </w:rPr>
        <w:t>la Ley No. 7969.</w:t>
      </w:r>
      <w:r>
        <w:rPr>
          <w:sz w:val="24"/>
          <w:szCs w:val="24"/>
          <w:lang w:val="es-ES" w:eastAsia="es-ES"/>
        </w:rPr>
        <w:noBreakHyphen/>
      </w:r>
    </w:p>
    <w:p w:rsidR="00000000" w:rsidRDefault="00DA0335">
      <w:pPr>
        <w:numPr>
          <w:ilvl w:val="0"/>
          <w:numId w:val="1"/>
        </w:numPr>
        <w:kinsoku w:val="0"/>
        <w:overflowPunct w:val="0"/>
        <w:autoSpaceDE/>
        <w:autoSpaceDN/>
        <w:adjustRightInd/>
        <w:spacing w:before="396" w:line="311" w:lineRule="exact"/>
        <w:ind w:right="72"/>
        <w:jc w:val="both"/>
        <w:textAlignment w:val="baseline"/>
        <w:rPr>
          <w:sz w:val="24"/>
          <w:szCs w:val="24"/>
          <w:lang w:val="es-ES" w:eastAsia="es-ES"/>
        </w:rPr>
      </w:pPr>
      <w:r>
        <w:rPr>
          <w:b/>
          <w:bCs/>
          <w:sz w:val="24"/>
          <w:szCs w:val="24"/>
          <w:lang w:val="es-ES" w:eastAsia="es-ES"/>
        </w:rPr>
        <w:t xml:space="preserve">SOBRE LOS HECHOS PROBADOS: </w:t>
      </w:r>
      <w:r>
        <w:rPr>
          <w:sz w:val="24"/>
          <w:szCs w:val="24"/>
          <w:lang w:val="es-ES" w:eastAsia="es-ES"/>
        </w:rPr>
        <w:t>De importancia para la decisión de este asunto, se estiman como debidamente demostrados los siguientes hechos:</w:t>
      </w:r>
    </w:p>
    <w:p w:rsidR="00000000" w:rsidRDefault="00DA0335">
      <w:pPr>
        <w:numPr>
          <w:ilvl w:val="0"/>
          <w:numId w:val="2"/>
        </w:numPr>
        <w:kinsoku w:val="0"/>
        <w:overflowPunct w:val="0"/>
        <w:autoSpaceDE/>
        <w:autoSpaceDN/>
        <w:adjustRightInd/>
        <w:spacing w:before="407" w:line="319" w:lineRule="exact"/>
        <w:ind w:right="72"/>
        <w:jc w:val="both"/>
        <w:textAlignment w:val="baseline"/>
        <w:rPr>
          <w:i/>
          <w:iCs/>
          <w:spacing w:val="-2"/>
          <w:sz w:val="24"/>
          <w:szCs w:val="24"/>
          <w:lang w:val="es-ES" w:eastAsia="es-ES"/>
        </w:rPr>
      </w:pPr>
      <w:r>
        <w:rPr>
          <w:i/>
          <w:iCs/>
          <w:spacing w:val="-2"/>
          <w:sz w:val="24"/>
          <w:szCs w:val="24"/>
          <w:lang w:val="es-ES" w:eastAsia="es-ES"/>
        </w:rPr>
        <w:t>Que mediante su Acuerdo No. 7.2.2 de su Sesió</w:t>
      </w:r>
      <w:r>
        <w:rPr>
          <w:i/>
          <w:iCs/>
          <w:spacing w:val="-2"/>
          <w:sz w:val="24"/>
          <w:szCs w:val="24"/>
          <w:lang w:val="es-ES" w:eastAsia="es-ES"/>
        </w:rPr>
        <w:t>n Ordinaria No. 65-2016 del 22 de Diciembre del 2016, luego de un conducente Procedimiento Administrativo Ordinario (No. 2016-166-T, según folios 0042 y ss. del Expediente del Caso) y en virtud de lo recomendado por el Oficio DAJ 2016-004198 de su Direcció</w:t>
      </w:r>
      <w:r>
        <w:rPr>
          <w:i/>
          <w:iCs/>
          <w:spacing w:val="-2"/>
          <w:sz w:val="24"/>
          <w:szCs w:val="24"/>
          <w:lang w:val="es-ES" w:eastAsia="es-ES"/>
        </w:rPr>
        <w:t xml:space="preserve">n de Asuntos Jurídicos, la Junta Directiva del Consejo de Transporte Público dispuso Cancelar el Derecho de Concesión de Taxi Placas </w:t>
      </w:r>
      <w:r>
        <w:rPr>
          <w:b/>
          <w:bCs/>
          <w:i/>
          <w:iCs/>
          <w:spacing w:val="-2"/>
          <w:sz w:val="24"/>
          <w:szCs w:val="24"/>
          <w:lang w:val="es-ES" w:eastAsia="es-ES"/>
        </w:rPr>
        <w:t>TSJ-XXXX</w:t>
      </w:r>
      <w:r>
        <w:rPr>
          <w:b/>
          <w:bCs/>
          <w:i/>
          <w:iCs/>
          <w:spacing w:val="-2"/>
          <w:sz w:val="24"/>
          <w:szCs w:val="24"/>
          <w:lang w:val="es-ES" w:eastAsia="es-ES"/>
        </w:rPr>
        <w:t xml:space="preserve">, </w:t>
      </w:r>
      <w:r>
        <w:rPr>
          <w:i/>
          <w:iCs/>
          <w:spacing w:val="-2"/>
          <w:sz w:val="24"/>
          <w:szCs w:val="24"/>
          <w:lang w:val="es-ES" w:eastAsia="es-ES"/>
        </w:rPr>
        <w:t xml:space="preserve">a nombre del Señor </w:t>
      </w:r>
      <w:r>
        <w:rPr>
          <w:b/>
          <w:bCs/>
          <w:i/>
          <w:iCs/>
          <w:spacing w:val="-2"/>
          <w:sz w:val="24"/>
          <w:szCs w:val="24"/>
          <w:lang w:val="es-ES" w:eastAsia="es-ES"/>
        </w:rPr>
        <w:t>M.A.C.</w:t>
      </w:r>
      <w:r>
        <w:rPr>
          <w:b/>
          <w:bCs/>
          <w:i/>
          <w:iCs/>
          <w:spacing w:val="-2"/>
          <w:sz w:val="24"/>
          <w:szCs w:val="24"/>
          <w:lang w:val="es-ES" w:eastAsia="es-ES"/>
        </w:rPr>
        <w:t xml:space="preserve">, </w:t>
      </w:r>
      <w:r>
        <w:rPr>
          <w:i/>
          <w:iCs/>
          <w:spacing w:val="-2"/>
          <w:sz w:val="24"/>
          <w:szCs w:val="24"/>
          <w:lang w:val="es-ES" w:eastAsia="es-ES"/>
        </w:rPr>
        <w:t>hoy Recurrente.</w:t>
      </w:r>
    </w:p>
    <w:p w:rsidR="00000000" w:rsidRDefault="00DA0335">
      <w:pPr>
        <w:numPr>
          <w:ilvl w:val="0"/>
          <w:numId w:val="2"/>
        </w:numPr>
        <w:kinsoku w:val="0"/>
        <w:overflowPunct w:val="0"/>
        <w:autoSpaceDE/>
        <w:autoSpaceDN/>
        <w:adjustRightInd/>
        <w:spacing w:before="267" w:line="319" w:lineRule="exact"/>
        <w:ind w:right="72"/>
        <w:jc w:val="both"/>
        <w:textAlignment w:val="baseline"/>
        <w:rPr>
          <w:b/>
          <w:bCs/>
          <w:i/>
          <w:iCs/>
          <w:spacing w:val="-1"/>
          <w:sz w:val="24"/>
          <w:szCs w:val="24"/>
          <w:lang w:val="es-ES" w:eastAsia="es-ES"/>
        </w:rPr>
      </w:pPr>
      <w:r>
        <w:rPr>
          <w:i/>
          <w:iCs/>
          <w:spacing w:val="-1"/>
          <w:sz w:val="24"/>
          <w:szCs w:val="24"/>
          <w:lang w:val="es-ES" w:eastAsia="es-ES"/>
        </w:rPr>
        <w:t>Que Notificado que fuera del Acuerdo señalado en el Res</w:t>
      </w:r>
      <w:r>
        <w:rPr>
          <w:i/>
          <w:iCs/>
          <w:spacing w:val="-1"/>
          <w:sz w:val="24"/>
          <w:szCs w:val="24"/>
          <w:lang w:val="es-ES" w:eastAsia="es-ES"/>
        </w:rPr>
        <w:t xml:space="preserve">ultando precedente, mediante Memorial sin fecha, presentado al Expediente No. 337209 de la Ventanilla Única del Consejo de Transporte Público el día 19 de Enero del 2017, el Señor </w:t>
      </w:r>
      <w:r>
        <w:rPr>
          <w:b/>
          <w:bCs/>
          <w:i/>
          <w:iCs/>
          <w:spacing w:val="-1"/>
          <w:sz w:val="24"/>
          <w:szCs w:val="24"/>
          <w:lang w:val="es-ES" w:eastAsia="es-ES"/>
        </w:rPr>
        <w:t>A.C.</w:t>
      </w:r>
    </w:p>
    <w:p w:rsidR="00000000" w:rsidRDefault="00DA0335">
      <w:pPr>
        <w:widowControl/>
        <w:rPr>
          <w:sz w:val="24"/>
          <w:szCs w:val="24"/>
        </w:rPr>
        <w:sectPr w:rsidR="00000000">
          <w:pgSz w:w="12240" w:h="15840"/>
          <w:pgMar w:top="1380" w:right="1574" w:bottom="584" w:left="1666" w:header="720" w:footer="720" w:gutter="0"/>
          <w:cols w:space="720"/>
          <w:noEndnote/>
        </w:sectPr>
      </w:pPr>
    </w:p>
    <w:p w:rsidR="00000000" w:rsidRDefault="00DA0335">
      <w:pPr>
        <w:kinsoku w:val="0"/>
        <w:overflowPunct w:val="0"/>
        <w:autoSpaceDE/>
        <w:autoSpaceDN/>
        <w:adjustRightInd/>
        <w:spacing w:line="316" w:lineRule="exact"/>
        <w:ind w:left="72" w:right="216"/>
        <w:jc w:val="both"/>
        <w:textAlignment w:val="baseline"/>
        <w:rPr>
          <w:i/>
          <w:iCs/>
          <w:spacing w:val="-2"/>
          <w:sz w:val="24"/>
          <w:szCs w:val="24"/>
          <w:lang w:val="es-ES" w:eastAsia="es-ES"/>
        </w:rPr>
      </w:pPr>
      <w:r>
        <w:rPr>
          <w:i/>
          <w:iCs/>
          <w:spacing w:val="-2"/>
          <w:sz w:val="24"/>
          <w:szCs w:val="24"/>
          <w:lang w:val="es-ES" w:eastAsia="es-ES"/>
        </w:rPr>
        <w:lastRenderedPageBreak/>
        <w:t xml:space="preserve">interpone formales Recursos Ordinarios de Revocatoria con Apelación en subsidio y Petición de Nulidad Absoluta concomitante contra el Acto supra señalado. Indicando, en lo general, que sí bien se Atrasó en el Cambio de Unidad (por Modelo o Antigüedad), él </w:t>
      </w:r>
      <w:r>
        <w:rPr>
          <w:i/>
          <w:iCs/>
          <w:spacing w:val="-2"/>
          <w:sz w:val="24"/>
          <w:szCs w:val="24"/>
          <w:lang w:val="es-ES" w:eastAsia="es-ES"/>
        </w:rPr>
        <w:t>mismo no fue nunca de Mala Fe y que no se Afectó el Servicio Público, según lo que él explicara en el pertinente Procedimiento Administrativo llevado en relación al Caso. Y alegando que la Sanción Aplicada, según su Contrato de Concesión, es Excesiva y Des</w:t>
      </w:r>
      <w:r>
        <w:rPr>
          <w:i/>
          <w:iCs/>
          <w:spacing w:val="-2"/>
          <w:sz w:val="24"/>
          <w:szCs w:val="24"/>
          <w:lang w:val="es-ES" w:eastAsia="es-ES"/>
        </w:rPr>
        <w:t>proporcionada, toda vez que lo correspondiente sería solo una AMONESTACIÓN ESCRITA, por ser una Falta de Primera Vez, NO SANCIONADA CON CADUCIDAD O CANCELACIÓN DIRECTA.</w:t>
      </w:r>
    </w:p>
    <w:p w:rsidR="00000000" w:rsidRDefault="00DA0335">
      <w:pPr>
        <w:numPr>
          <w:ilvl w:val="0"/>
          <w:numId w:val="3"/>
        </w:numPr>
        <w:kinsoku w:val="0"/>
        <w:overflowPunct w:val="0"/>
        <w:autoSpaceDE/>
        <w:autoSpaceDN/>
        <w:adjustRightInd/>
        <w:spacing w:before="271" w:line="317" w:lineRule="exact"/>
        <w:ind w:right="216"/>
        <w:jc w:val="both"/>
        <w:textAlignment w:val="baseline"/>
        <w:rPr>
          <w:i/>
          <w:iCs/>
          <w:sz w:val="24"/>
          <w:szCs w:val="24"/>
          <w:lang w:val="es-ES" w:eastAsia="es-ES"/>
        </w:rPr>
      </w:pPr>
      <w:r>
        <w:rPr>
          <w:i/>
          <w:iCs/>
          <w:sz w:val="24"/>
          <w:szCs w:val="24"/>
          <w:lang w:val="es-ES" w:eastAsia="es-ES"/>
        </w:rPr>
        <w:t>Que luego de valorar la Revocatoria y la Nulidad concomitante de Primera Instanci</w:t>
      </w:r>
      <w:r>
        <w:rPr>
          <w:i/>
          <w:iCs/>
          <w:sz w:val="24"/>
          <w:szCs w:val="24"/>
          <w:lang w:val="es-ES" w:eastAsia="es-ES"/>
        </w:rPr>
        <w:t>a, por medio de su Acuerdo No. 7.5.4 de su Sesión Ordinaria No. 20-2017 del 17 de Mayo del 2017, la Junta Directiva del Consejo de Transporte Público determinó su Rechazo y la Elevación del Asunto para ante este Tribunal.</w:t>
      </w:r>
    </w:p>
    <w:p w:rsidR="00000000" w:rsidRDefault="00DA0335">
      <w:pPr>
        <w:numPr>
          <w:ilvl w:val="0"/>
          <w:numId w:val="3"/>
        </w:numPr>
        <w:kinsoku w:val="0"/>
        <w:overflowPunct w:val="0"/>
        <w:autoSpaceDE/>
        <w:autoSpaceDN/>
        <w:adjustRightInd/>
        <w:spacing w:before="273" w:line="317" w:lineRule="exact"/>
        <w:ind w:right="216"/>
        <w:jc w:val="both"/>
        <w:textAlignment w:val="baseline"/>
        <w:rPr>
          <w:i/>
          <w:iCs/>
          <w:sz w:val="24"/>
          <w:szCs w:val="24"/>
          <w:lang w:val="es-ES" w:eastAsia="es-ES"/>
        </w:rPr>
      </w:pPr>
      <w:r>
        <w:rPr>
          <w:i/>
          <w:iCs/>
          <w:sz w:val="24"/>
          <w:szCs w:val="24"/>
          <w:lang w:val="es-ES" w:eastAsia="es-ES"/>
        </w:rPr>
        <w:t>Que durante el Procedimiento Ordin</w:t>
      </w:r>
      <w:r>
        <w:rPr>
          <w:i/>
          <w:iCs/>
          <w:sz w:val="24"/>
          <w:szCs w:val="24"/>
          <w:lang w:val="es-ES" w:eastAsia="es-ES"/>
        </w:rPr>
        <w:t>ario realizado al efecto, el hoy Recurrente No Presenta Meritoria Prueba de Descargo y/o de Justificación en cuanto a su Atraso/Incumplimiento para el Cambio de Unidad por Antigüedad</w:t>
      </w:r>
    </w:p>
    <w:p w:rsidR="00000000" w:rsidRDefault="00DA0335">
      <w:pPr>
        <w:numPr>
          <w:ilvl w:val="0"/>
          <w:numId w:val="3"/>
        </w:numPr>
        <w:kinsoku w:val="0"/>
        <w:overflowPunct w:val="0"/>
        <w:autoSpaceDE/>
        <w:autoSpaceDN/>
        <w:adjustRightInd/>
        <w:spacing w:before="269" w:line="317" w:lineRule="exact"/>
        <w:ind w:right="216"/>
        <w:jc w:val="both"/>
        <w:textAlignment w:val="baseline"/>
        <w:rPr>
          <w:i/>
          <w:iCs/>
          <w:spacing w:val="-1"/>
          <w:sz w:val="24"/>
          <w:szCs w:val="24"/>
          <w:lang w:val="es-ES" w:eastAsia="es-ES"/>
        </w:rPr>
      </w:pPr>
      <w:r>
        <w:rPr>
          <w:i/>
          <w:iCs/>
          <w:spacing w:val="-1"/>
          <w:sz w:val="24"/>
          <w:szCs w:val="24"/>
          <w:lang w:val="es-ES" w:eastAsia="es-ES"/>
        </w:rPr>
        <w:t>Que la Gestión de Cambio de Unidad por parte del Recurrente y ante el Con</w:t>
      </w:r>
      <w:r>
        <w:rPr>
          <w:i/>
          <w:iCs/>
          <w:spacing w:val="-1"/>
          <w:sz w:val="24"/>
          <w:szCs w:val="24"/>
          <w:lang w:val="es-ES" w:eastAsia="es-ES"/>
        </w:rPr>
        <w:t>sejo de Transporte Público, se da hasta el día 16 de Mayo del 2016 (Expediente No. 329624). Con Un Año y Cinco Meses de Dilación Injustificada (Ver Folio 0056 de Expediente del Caso).</w:t>
      </w:r>
    </w:p>
    <w:p w:rsidR="00000000" w:rsidRDefault="00DA0335">
      <w:pPr>
        <w:numPr>
          <w:ilvl w:val="0"/>
          <w:numId w:val="4"/>
        </w:numPr>
        <w:kinsoku w:val="0"/>
        <w:overflowPunct w:val="0"/>
        <w:autoSpaceDE/>
        <w:autoSpaceDN/>
        <w:adjustRightInd/>
        <w:spacing w:before="323" w:line="319" w:lineRule="exact"/>
        <w:jc w:val="both"/>
        <w:textAlignment w:val="baseline"/>
        <w:rPr>
          <w:b/>
          <w:bCs/>
          <w:spacing w:val="-2"/>
          <w:sz w:val="24"/>
          <w:szCs w:val="24"/>
          <w:lang w:val="es-ES" w:eastAsia="es-ES"/>
        </w:rPr>
      </w:pPr>
      <w:r>
        <w:rPr>
          <w:b/>
          <w:bCs/>
          <w:spacing w:val="-2"/>
          <w:sz w:val="24"/>
          <w:szCs w:val="24"/>
          <w:lang w:val="es-ES" w:eastAsia="es-ES"/>
        </w:rPr>
        <w:t>HECHOS NO PROBADOS:</w:t>
      </w:r>
    </w:p>
    <w:p w:rsidR="00000000" w:rsidRDefault="00DA0335">
      <w:pPr>
        <w:kinsoku w:val="0"/>
        <w:overflowPunct w:val="0"/>
        <w:autoSpaceDE/>
        <w:autoSpaceDN/>
        <w:adjustRightInd/>
        <w:spacing w:before="109" w:line="318" w:lineRule="exact"/>
        <w:ind w:left="72" w:right="216"/>
        <w:jc w:val="both"/>
        <w:textAlignment w:val="baseline"/>
        <w:rPr>
          <w:sz w:val="24"/>
          <w:szCs w:val="24"/>
          <w:lang w:val="es-ES" w:eastAsia="es-ES"/>
        </w:rPr>
      </w:pPr>
      <w:r>
        <w:rPr>
          <w:sz w:val="24"/>
          <w:szCs w:val="24"/>
          <w:lang w:val="es-ES" w:eastAsia="es-ES"/>
        </w:rPr>
        <w:t>No se tiene como Demostrado que en la Especie haya mediado Alguna Justificante Debida en cuanto a la Falta Atribuida al Concesionario/Recurrente.</w:t>
      </w:r>
    </w:p>
    <w:p w:rsidR="00000000" w:rsidRDefault="00DA0335">
      <w:pPr>
        <w:numPr>
          <w:ilvl w:val="0"/>
          <w:numId w:val="4"/>
        </w:numPr>
        <w:kinsoku w:val="0"/>
        <w:overflowPunct w:val="0"/>
        <w:autoSpaceDE/>
        <w:autoSpaceDN/>
        <w:adjustRightInd/>
        <w:spacing w:before="4" w:line="319" w:lineRule="exact"/>
        <w:textAlignment w:val="baseline"/>
        <w:rPr>
          <w:b/>
          <w:bCs/>
          <w:spacing w:val="-3"/>
          <w:sz w:val="24"/>
          <w:szCs w:val="24"/>
          <w:lang w:val="es-ES" w:eastAsia="es-ES"/>
        </w:rPr>
      </w:pPr>
      <w:r>
        <w:rPr>
          <w:b/>
          <w:bCs/>
          <w:spacing w:val="-3"/>
          <w:sz w:val="24"/>
          <w:szCs w:val="24"/>
          <w:lang w:val="es-ES" w:eastAsia="es-ES"/>
        </w:rPr>
        <w:t>SOBRE EL FONDO:</w:t>
      </w:r>
    </w:p>
    <w:p w:rsidR="00000000" w:rsidRDefault="00DA0335">
      <w:pPr>
        <w:kinsoku w:val="0"/>
        <w:overflowPunct w:val="0"/>
        <w:autoSpaceDE/>
        <w:autoSpaceDN/>
        <w:adjustRightInd/>
        <w:spacing w:line="313" w:lineRule="exact"/>
        <w:ind w:left="72" w:right="216"/>
        <w:jc w:val="both"/>
        <w:textAlignment w:val="baseline"/>
        <w:rPr>
          <w:b/>
          <w:bCs/>
          <w:sz w:val="24"/>
          <w:szCs w:val="24"/>
          <w:lang w:val="es-ES" w:eastAsia="es-ES"/>
        </w:rPr>
      </w:pPr>
      <w:r>
        <w:rPr>
          <w:sz w:val="24"/>
          <w:szCs w:val="24"/>
          <w:lang w:val="es-ES" w:eastAsia="es-ES"/>
        </w:rPr>
        <w:t xml:space="preserve">En la especie se discute sobre la Cancelación de la Concesión de Taxi asignada al Señor </w:t>
      </w:r>
      <w:r>
        <w:rPr>
          <w:b/>
          <w:bCs/>
          <w:sz w:val="24"/>
          <w:szCs w:val="24"/>
          <w:lang w:val="es-ES" w:eastAsia="es-ES"/>
        </w:rPr>
        <w:t xml:space="preserve">ÁVILA CERDAS, </w:t>
      </w:r>
      <w:r>
        <w:rPr>
          <w:sz w:val="24"/>
          <w:szCs w:val="24"/>
          <w:lang w:val="es-ES" w:eastAsia="es-ES"/>
        </w:rPr>
        <w:t xml:space="preserve">ello en virtud de </w:t>
      </w:r>
      <w:r>
        <w:rPr>
          <w:b/>
          <w:bCs/>
          <w:sz w:val="24"/>
          <w:szCs w:val="24"/>
          <w:lang w:val="es-ES" w:eastAsia="es-ES"/>
        </w:rPr>
        <w:t>NO HABER REALIZADO EL PERTINENTE CAMBIO DE UNIDAD POR ANTIGÜEDAD O MODELO EN TIEMPO Y FORMA.</w:t>
      </w:r>
    </w:p>
    <w:p w:rsidR="00000000" w:rsidRDefault="00DA0335">
      <w:pPr>
        <w:kinsoku w:val="0"/>
        <w:overflowPunct w:val="0"/>
        <w:autoSpaceDE/>
        <w:autoSpaceDN/>
        <w:adjustRightInd/>
        <w:spacing w:before="303" w:after="525" w:line="318" w:lineRule="exact"/>
        <w:ind w:left="72" w:right="216"/>
        <w:jc w:val="both"/>
        <w:textAlignment w:val="baseline"/>
        <w:rPr>
          <w:spacing w:val="-2"/>
          <w:sz w:val="24"/>
          <w:szCs w:val="24"/>
          <w:lang w:val="es-ES" w:eastAsia="es-ES"/>
        </w:rPr>
      </w:pPr>
      <w:r>
        <w:rPr>
          <w:spacing w:val="-2"/>
          <w:sz w:val="24"/>
          <w:szCs w:val="24"/>
          <w:lang w:val="es-ES" w:eastAsia="es-ES"/>
        </w:rPr>
        <w:t xml:space="preserve">Según los antecedentes de este Caso, el hoy Recurrente podía Operar con su Unidad Placas </w:t>
      </w:r>
      <w:r>
        <w:rPr>
          <w:b/>
          <w:bCs/>
          <w:spacing w:val="-2"/>
          <w:sz w:val="24"/>
          <w:szCs w:val="24"/>
          <w:u w:val="single"/>
          <w:lang w:val="es-ES" w:eastAsia="es-ES"/>
        </w:rPr>
        <w:t>TSJ-XXXX</w:t>
      </w:r>
      <w:r>
        <w:rPr>
          <w:b/>
          <w:bCs/>
          <w:spacing w:val="-2"/>
          <w:sz w:val="24"/>
          <w:szCs w:val="24"/>
          <w:u w:val="single"/>
          <w:lang w:val="es-ES" w:eastAsia="es-ES"/>
        </w:rPr>
        <w:t>,</w:t>
      </w:r>
      <w:r>
        <w:rPr>
          <w:spacing w:val="-2"/>
          <w:sz w:val="24"/>
          <w:szCs w:val="24"/>
          <w:lang w:val="es-ES" w:eastAsia="es-ES"/>
        </w:rPr>
        <w:t xml:space="preserve"> MODELO 1999, </w:t>
      </w:r>
      <w:r>
        <w:rPr>
          <w:b/>
          <w:bCs/>
          <w:i/>
          <w:iCs/>
          <w:spacing w:val="-2"/>
          <w:sz w:val="24"/>
          <w:szCs w:val="24"/>
          <w:lang w:val="es-ES" w:eastAsia="es-ES"/>
        </w:rPr>
        <w:t>hasta Finales del A</w:t>
      </w:r>
      <w:r>
        <w:rPr>
          <w:b/>
          <w:bCs/>
          <w:i/>
          <w:iCs/>
          <w:spacing w:val="-2"/>
          <w:sz w:val="24"/>
          <w:szCs w:val="24"/>
          <w:lang w:val="es-ES" w:eastAsia="es-ES"/>
        </w:rPr>
        <w:t xml:space="preserve">ño 2014 </w:t>
      </w:r>
      <w:r>
        <w:rPr>
          <w:i/>
          <w:iCs/>
          <w:spacing w:val="-2"/>
          <w:sz w:val="24"/>
          <w:szCs w:val="24"/>
          <w:lang w:val="es-ES" w:eastAsia="es-ES"/>
        </w:rPr>
        <w:t xml:space="preserve">(15 años de antigüedad). </w:t>
      </w:r>
      <w:r>
        <w:rPr>
          <w:spacing w:val="-2"/>
          <w:sz w:val="24"/>
          <w:szCs w:val="24"/>
          <w:lang w:val="es-ES" w:eastAsia="es-ES"/>
        </w:rPr>
        <w:t xml:space="preserve">Debiendo Gestionar y/o realizar el Conducente Cambio de Unidad por Antigüedad antes de la Fecha aludida. Más ese Cambio NO se Tramita sino hasta en fecha </w:t>
      </w:r>
      <w:r>
        <w:rPr>
          <w:b/>
          <w:bCs/>
          <w:i/>
          <w:iCs/>
          <w:spacing w:val="-2"/>
          <w:sz w:val="24"/>
          <w:szCs w:val="24"/>
          <w:lang w:val="es-ES" w:eastAsia="es-ES"/>
        </w:rPr>
        <w:t xml:space="preserve">16 de Mayo del 2016 </w:t>
      </w:r>
      <w:r>
        <w:rPr>
          <w:i/>
          <w:iCs/>
          <w:spacing w:val="-2"/>
          <w:sz w:val="24"/>
          <w:szCs w:val="24"/>
          <w:lang w:val="es-ES" w:eastAsia="es-ES"/>
        </w:rPr>
        <w:t xml:space="preserve">(Ver Folio 0056 del Expediente del Caso), </w:t>
      </w:r>
      <w:r>
        <w:rPr>
          <w:spacing w:val="-2"/>
          <w:sz w:val="24"/>
          <w:szCs w:val="24"/>
          <w:lang w:val="es-ES" w:eastAsia="es-ES"/>
        </w:rPr>
        <w:t>con una</w:t>
      </w:r>
      <w:r>
        <w:rPr>
          <w:spacing w:val="-2"/>
          <w:sz w:val="24"/>
          <w:szCs w:val="24"/>
          <w:lang w:val="es-ES" w:eastAsia="es-ES"/>
        </w:rPr>
        <w:t xml:space="preserve"> Dilación Injustificada de </w:t>
      </w:r>
      <w:r>
        <w:rPr>
          <w:b/>
          <w:bCs/>
          <w:spacing w:val="-2"/>
          <w:sz w:val="24"/>
          <w:szCs w:val="24"/>
          <w:lang w:val="es-ES" w:eastAsia="es-ES"/>
        </w:rPr>
        <w:t xml:space="preserve">UN AÑO Y CINCO MESES. </w:t>
      </w:r>
      <w:r>
        <w:rPr>
          <w:spacing w:val="-2"/>
          <w:sz w:val="24"/>
          <w:szCs w:val="24"/>
          <w:lang w:val="es-ES" w:eastAsia="es-ES"/>
        </w:rPr>
        <w:t>Amén de que según Indica el mismo Recurrente Durante el Procedimiento Administrativo seguido en su relación, desde Abril del 2015 SU VEHÍCULO TAXI NO CIRCULÓ MÁS, DEBIDO A QUE NO POSEÍA RITEVE. Demostrándose</w:t>
      </w:r>
      <w:r>
        <w:rPr>
          <w:spacing w:val="-2"/>
          <w:sz w:val="24"/>
          <w:szCs w:val="24"/>
          <w:lang w:val="es-ES" w:eastAsia="es-ES"/>
        </w:rPr>
        <w:t xml:space="preserve"> de lo que Consta en los Antecedentes del caso, que el Cambio de Unidad por Modelo y/o Antigüedad del Vehículo </w:t>
      </w:r>
      <w:r>
        <w:rPr>
          <w:b/>
          <w:bCs/>
          <w:i/>
          <w:iCs/>
          <w:spacing w:val="-2"/>
          <w:sz w:val="24"/>
          <w:szCs w:val="24"/>
          <w:lang w:val="es-ES" w:eastAsia="es-ES"/>
        </w:rPr>
        <w:t xml:space="preserve">SE DIO CON UNA TARDANZA O ATRASO DE CASI AÑO Y MEDIO. </w:t>
      </w:r>
      <w:r>
        <w:rPr>
          <w:spacing w:val="-2"/>
          <w:sz w:val="24"/>
          <w:szCs w:val="24"/>
          <w:lang w:val="es-ES" w:eastAsia="es-ES"/>
        </w:rPr>
        <w:t>Atraso</w:t>
      </w:r>
    </w:p>
    <w:p w:rsidR="00000000" w:rsidRDefault="00DA0335">
      <w:pPr>
        <w:widowControl/>
        <w:rPr>
          <w:sz w:val="24"/>
          <w:szCs w:val="24"/>
        </w:rPr>
        <w:sectPr w:rsidR="00000000">
          <w:pgSz w:w="12240" w:h="15840"/>
          <w:pgMar w:top="1340" w:right="1373" w:bottom="584" w:left="1690" w:header="720" w:footer="720" w:gutter="0"/>
          <w:cols w:space="720"/>
          <w:noEndnote/>
        </w:sectPr>
      </w:pPr>
    </w:p>
    <w:p w:rsidR="00000000" w:rsidRDefault="00DA0335">
      <w:pPr>
        <w:tabs>
          <w:tab w:val="left" w:pos="2520"/>
        </w:tabs>
        <w:kinsoku w:val="0"/>
        <w:overflowPunct w:val="0"/>
        <w:autoSpaceDE/>
        <w:autoSpaceDN/>
        <w:adjustRightInd/>
        <w:spacing w:line="308" w:lineRule="exact"/>
        <w:textAlignment w:val="baseline"/>
        <w:rPr>
          <w:b/>
          <w:bCs/>
          <w:sz w:val="24"/>
          <w:szCs w:val="24"/>
          <w:lang w:val="es-ES" w:eastAsia="es-ES"/>
        </w:rPr>
      </w:pPr>
    </w:p>
    <w:p w:rsidR="00000000" w:rsidRDefault="00DA0335">
      <w:pPr>
        <w:widowControl/>
        <w:rPr>
          <w:sz w:val="24"/>
          <w:szCs w:val="24"/>
        </w:rPr>
        <w:sectPr w:rsidR="00000000">
          <w:type w:val="continuous"/>
          <w:pgSz w:w="12240" w:h="15840"/>
          <w:pgMar w:top="1340" w:right="1373" w:bottom="584" w:left="7987" w:header="720" w:footer="720" w:gutter="0"/>
          <w:cols w:space="720"/>
          <w:noEndnote/>
        </w:sectPr>
      </w:pPr>
    </w:p>
    <w:p w:rsidR="00000000" w:rsidRDefault="00DA0335">
      <w:pPr>
        <w:kinsoku w:val="0"/>
        <w:overflowPunct w:val="0"/>
        <w:autoSpaceDE/>
        <w:autoSpaceDN/>
        <w:adjustRightInd/>
        <w:spacing w:line="296" w:lineRule="exact"/>
        <w:ind w:left="144" w:right="144"/>
        <w:jc w:val="both"/>
        <w:textAlignment w:val="baseline"/>
        <w:rPr>
          <w:i/>
          <w:iCs/>
          <w:sz w:val="24"/>
          <w:szCs w:val="24"/>
          <w:lang w:val="es-ES" w:eastAsia="es-ES"/>
        </w:rPr>
      </w:pPr>
      <w:r>
        <w:rPr>
          <w:sz w:val="24"/>
          <w:szCs w:val="24"/>
          <w:lang w:val="es-ES" w:eastAsia="es-ES"/>
        </w:rPr>
        <w:lastRenderedPageBreak/>
        <w:t xml:space="preserve">que el Recurrente tampoco ha podido justificar de ninguna forma </w:t>
      </w:r>
      <w:r>
        <w:rPr>
          <w:i/>
          <w:iCs/>
          <w:sz w:val="24"/>
          <w:szCs w:val="24"/>
          <w:lang w:val="es-ES" w:eastAsia="es-ES"/>
        </w:rPr>
        <w:t>(Ver Folios 0006 a 0011 y 0045 del Expediente del Caso).</w:t>
      </w:r>
    </w:p>
    <w:p w:rsidR="00000000" w:rsidRDefault="00DA0335">
      <w:pPr>
        <w:kinsoku w:val="0"/>
        <w:overflowPunct w:val="0"/>
        <w:autoSpaceDE/>
        <w:autoSpaceDN/>
        <w:adjustRightInd/>
        <w:spacing w:before="347" w:line="312" w:lineRule="exact"/>
        <w:ind w:left="144" w:right="144"/>
        <w:jc w:val="both"/>
        <w:textAlignment w:val="baseline"/>
        <w:rPr>
          <w:spacing w:val="-1"/>
          <w:sz w:val="24"/>
          <w:szCs w:val="24"/>
          <w:lang w:val="es-ES" w:eastAsia="es-ES"/>
        </w:rPr>
      </w:pPr>
      <w:r>
        <w:rPr>
          <w:spacing w:val="-1"/>
          <w:sz w:val="24"/>
          <w:szCs w:val="24"/>
          <w:lang w:val="es-ES" w:eastAsia="es-ES"/>
        </w:rPr>
        <w:t>Así las cosas y sí bien es cierto este Tribunal, segú</w:t>
      </w:r>
      <w:r>
        <w:rPr>
          <w:spacing w:val="-1"/>
          <w:sz w:val="24"/>
          <w:szCs w:val="24"/>
          <w:lang w:val="es-ES" w:eastAsia="es-ES"/>
        </w:rPr>
        <w:t xml:space="preserve">n el Caso, ha emitido Resoluciones en sentido de que debe de Valorarse sí el Atraso del Cambio de Unidad fue un Incumplimiento Pleno y Grave o sí solo Medió una Tardanza de Cumplimiento </w:t>
      </w:r>
      <w:r>
        <w:rPr>
          <w:i/>
          <w:iCs/>
          <w:spacing w:val="-1"/>
          <w:sz w:val="24"/>
          <w:szCs w:val="24"/>
          <w:lang w:val="es-ES" w:eastAsia="es-ES"/>
        </w:rPr>
        <w:t xml:space="preserve">(No Grave). </w:t>
      </w:r>
      <w:r>
        <w:rPr>
          <w:spacing w:val="-1"/>
          <w:sz w:val="24"/>
          <w:szCs w:val="24"/>
          <w:lang w:val="es-ES" w:eastAsia="es-ES"/>
        </w:rPr>
        <w:t>Así</w:t>
      </w:r>
      <w:r>
        <w:rPr>
          <w:spacing w:val="-1"/>
          <w:sz w:val="24"/>
          <w:szCs w:val="24"/>
          <w:lang w:val="es-ES" w:eastAsia="es-ES"/>
        </w:rPr>
        <w:t xml:space="preserve"> como deben de valorarse los elementos incidentes en tal demora o incumplimiento. En este Caso tales Criterios no aplican. Toda vez que el Atraso en el Cambio de Unidad en este Asunto es de Falta Grave, pues el tiempo injustificado de demora de más de un a</w:t>
      </w:r>
      <w:r>
        <w:rPr>
          <w:spacing w:val="-1"/>
          <w:sz w:val="24"/>
          <w:szCs w:val="24"/>
          <w:lang w:val="es-ES" w:eastAsia="es-ES"/>
        </w:rPr>
        <w:t>ño en cuanto al trámite de Cambio de Unidad por Modelo o Antigüedad no puede llamarse un mero atraso y evidencia la No Operación Debida del Servicio, producto de esa Situación.</w:t>
      </w:r>
    </w:p>
    <w:p w:rsidR="00000000" w:rsidRDefault="00DA0335">
      <w:pPr>
        <w:kinsoku w:val="0"/>
        <w:overflowPunct w:val="0"/>
        <w:autoSpaceDE/>
        <w:autoSpaceDN/>
        <w:adjustRightInd/>
        <w:spacing w:before="328" w:line="312" w:lineRule="exact"/>
        <w:ind w:left="144" w:right="144"/>
        <w:jc w:val="both"/>
        <w:textAlignment w:val="baseline"/>
        <w:rPr>
          <w:sz w:val="24"/>
          <w:szCs w:val="24"/>
          <w:lang w:val="es-ES" w:eastAsia="es-ES"/>
        </w:rPr>
      </w:pPr>
      <w:r>
        <w:rPr>
          <w:sz w:val="24"/>
          <w:szCs w:val="24"/>
          <w:lang w:val="es-ES" w:eastAsia="es-ES"/>
        </w:rPr>
        <w:t xml:space="preserve">Durante el Procedimiento de mérito el Recurrente </w:t>
      </w:r>
      <w:r>
        <w:rPr>
          <w:b/>
          <w:bCs/>
          <w:sz w:val="24"/>
          <w:szCs w:val="24"/>
          <w:lang w:val="es-ES" w:eastAsia="es-ES"/>
        </w:rPr>
        <w:t>NO APORTA PRUEBA ALGUNA DE DES</w:t>
      </w:r>
      <w:r>
        <w:rPr>
          <w:b/>
          <w:bCs/>
          <w:sz w:val="24"/>
          <w:szCs w:val="24"/>
          <w:lang w:val="es-ES" w:eastAsia="es-ES"/>
        </w:rPr>
        <w:t xml:space="preserve">CARGO O DE JUSTIFICACIÓN, </w:t>
      </w:r>
      <w:r>
        <w:rPr>
          <w:sz w:val="24"/>
          <w:szCs w:val="24"/>
          <w:lang w:val="es-ES" w:eastAsia="es-ES"/>
        </w:rPr>
        <w:t>salvo su Mero Decir.</w:t>
      </w:r>
    </w:p>
    <w:p w:rsidR="00000000" w:rsidRDefault="00DA0335">
      <w:pPr>
        <w:kinsoku w:val="0"/>
        <w:overflowPunct w:val="0"/>
        <w:autoSpaceDE/>
        <w:autoSpaceDN/>
        <w:adjustRightInd/>
        <w:spacing w:before="274" w:line="312" w:lineRule="exact"/>
        <w:ind w:left="144" w:right="144"/>
        <w:jc w:val="both"/>
        <w:textAlignment w:val="baseline"/>
        <w:rPr>
          <w:sz w:val="24"/>
          <w:szCs w:val="24"/>
          <w:lang w:val="es-ES" w:eastAsia="es-ES"/>
        </w:rPr>
      </w:pPr>
      <w:r>
        <w:rPr>
          <w:sz w:val="24"/>
          <w:szCs w:val="24"/>
          <w:lang w:val="es-ES" w:eastAsia="es-ES"/>
        </w:rPr>
        <w:t>El Reglamento de Características y Condiciones Generales de los Vehículos Taxi, Decreto Ejecutivo No. 32261-MOPT, en su Artículo 5 bien señala:</w:t>
      </w:r>
    </w:p>
    <w:p w:rsidR="00000000" w:rsidRDefault="00DA0335">
      <w:pPr>
        <w:kinsoku w:val="0"/>
        <w:overflowPunct w:val="0"/>
        <w:autoSpaceDE/>
        <w:autoSpaceDN/>
        <w:adjustRightInd/>
        <w:spacing w:before="325" w:line="274" w:lineRule="exact"/>
        <w:ind w:left="648" w:right="720"/>
        <w:jc w:val="both"/>
        <w:textAlignment w:val="baseline"/>
        <w:rPr>
          <w:sz w:val="24"/>
          <w:szCs w:val="24"/>
          <w:lang w:val="es-ES" w:eastAsia="es-ES"/>
        </w:rPr>
      </w:pPr>
      <w:r>
        <w:rPr>
          <w:b/>
          <w:bCs/>
          <w:sz w:val="24"/>
          <w:szCs w:val="24"/>
          <w:lang w:val="es-ES" w:eastAsia="es-ES"/>
        </w:rPr>
        <w:t xml:space="preserve">Artículo 5°- Rango de Antigüedad. </w:t>
      </w:r>
      <w:r>
        <w:rPr>
          <w:sz w:val="24"/>
          <w:szCs w:val="24"/>
          <w:lang w:val="es-ES" w:eastAsia="es-ES"/>
        </w:rPr>
        <w:t>Para la prestación del servicio</w:t>
      </w:r>
      <w:r>
        <w:rPr>
          <w:sz w:val="24"/>
          <w:szCs w:val="24"/>
          <w:lang w:val="es-ES" w:eastAsia="es-ES"/>
        </w:rPr>
        <w:t xml:space="preserve"> público del transporte remunerado de personas modalidad taxi, los vehículos automotores que se utilicen en esta actividad no podrán contar con un rango de antigüedad superior a los 15 años contados a partir de su fecha de fabricación.</w:t>
      </w:r>
    </w:p>
    <w:p w:rsidR="00000000" w:rsidRDefault="00DA0335">
      <w:pPr>
        <w:kinsoku w:val="0"/>
        <w:overflowPunct w:val="0"/>
        <w:autoSpaceDE/>
        <w:autoSpaceDN/>
        <w:adjustRightInd/>
        <w:spacing w:before="277" w:line="272" w:lineRule="exact"/>
        <w:ind w:left="648" w:right="720"/>
        <w:jc w:val="both"/>
        <w:textAlignment w:val="baseline"/>
        <w:rPr>
          <w:sz w:val="24"/>
          <w:szCs w:val="24"/>
          <w:lang w:val="es-ES" w:eastAsia="es-ES"/>
        </w:rPr>
      </w:pPr>
      <w:r>
        <w:rPr>
          <w:sz w:val="24"/>
          <w:szCs w:val="24"/>
          <w:lang w:val="es-ES" w:eastAsia="es-ES"/>
        </w:rPr>
        <w:t>Para t</w:t>
      </w:r>
      <w:r>
        <w:rPr>
          <w:sz w:val="24"/>
          <w:szCs w:val="24"/>
          <w:lang w:val="es-ES" w:eastAsia="es-ES"/>
        </w:rPr>
        <w:t>ales efectos, la vida máxima autorizada será la indicada en el párrafo anterior, y por ninguna causa, podrá autorizarse la circulación de unidades que excedan el rango de antigüedad aludido</w:t>
      </w:r>
    </w:p>
    <w:p w:rsidR="00000000" w:rsidRDefault="00DA0335">
      <w:pPr>
        <w:kinsoku w:val="0"/>
        <w:overflowPunct w:val="0"/>
        <w:autoSpaceDE/>
        <w:autoSpaceDN/>
        <w:adjustRightInd/>
        <w:spacing w:before="277" w:line="269" w:lineRule="exact"/>
        <w:ind w:left="648" w:right="720"/>
        <w:jc w:val="both"/>
        <w:textAlignment w:val="baseline"/>
        <w:rPr>
          <w:i/>
          <w:iCs/>
          <w:sz w:val="24"/>
          <w:szCs w:val="24"/>
          <w:lang w:val="es-ES" w:eastAsia="es-ES"/>
        </w:rPr>
      </w:pPr>
      <w:r>
        <w:rPr>
          <w:i/>
          <w:iCs/>
          <w:sz w:val="24"/>
          <w:szCs w:val="24"/>
          <w:lang w:val="es-ES" w:eastAsia="es-ES"/>
        </w:rPr>
        <w:t>(Así reformado mediante artículo 1° del decreto ejecutivo N° 34103</w:t>
      </w:r>
      <w:r>
        <w:rPr>
          <w:i/>
          <w:iCs/>
          <w:sz w:val="24"/>
          <w:szCs w:val="24"/>
          <w:lang w:val="es-ES" w:eastAsia="es-ES"/>
        </w:rPr>
        <w:t xml:space="preserve"> del 08 de noviembre de 2007)</w:t>
      </w:r>
    </w:p>
    <w:p w:rsidR="00000000" w:rsidRDefault="00DA0335">
      <w:pPr>
        <w:kinsoku w:val="0"/>
        <w:overflowPunct w:val="0"/>
        <w:autoSpaceDE/>
        <w:autoSpaceDN/>
        <w:adjustRightInd/>
        <w:spacing w:before="249" w:line="312" w:lineRule="exact"/>
        <w:ind w:left="144" w:right="144"/>
        <w:jc w:val="both"/>
        <w:textAlignment w:val="baseline"/>
        <w:rPr>
          <w:spacing w:val="8"/>
          <w:sz w:val="24"/>
          <w:szCs w:val="24"/>
          <w:lang w:val="es-ES" w:eastAsia="es-ES"/>
        </w:rPr>
      </w:pPr>
      <w:r>
        <w:rPr>
          <w:spacing w:val="8"/>
          <w:sz w:val="24"/>
          <w:szCs w:val="24"/>
          <w:lang w:val="es-ES" w:eastAsia="es-ES"/>
        </w:rPr>
        <w:t xml:space="preserve">Así se une a lo anterior que en el Contrato de Concesión respectivo </w:t>
      </w:r>
      <w:r>
        <w:rPr>
          <w:i/>
          <w:iCs/>
          <w:spacing w:val="8"/>
          <w:sz w:val="24"/>
          <w:szCs w:val="24"/>
          <w:lang w:val="es-ES" w:eastAsia="es-ES"/>
        </w:rPr>
        <w:t xml:space="preserve">(Artículos III, V, VII, XI y XII), </w:t>
      </w:r>
      <w:r>
        <w:rPr>
          <w:spacing w:val="8"/>
          <w:sz w:val="24"/>
          <w:szCs w:val="24"/>
          <w:lang w:val="es-ES" w:eastAsia="es-ES"/>
        </w:rPr>
        <w:t xml:space="preserve">se señala la Obligación de los Concesionarios de Taxi de CUMPLIR con las Obligaciones que la Ley </w:t>
      </w:r>
      <w:r>
        <w:rPr>
          <w:i/>
          <w:iCs/>
          <w:spacing w:val="8"/>
          <w:sz w:val="24"/>
          <w:szCs w:val="24"/>
          <w:lang w:val="es-ES" w:eastAsia="es-ES"/>
        </w:rPr>
        <w:t xml:space="preserve">(sentido laxo) </w:t>
      </w:r>
      <w:r>
        <w:rPr>
          <w:spacing w:val="8"/>
          <w:sz w:val="24"/>
          <w:szCs w:val="24"/>
          <w:lang w:val="es-ES" w:eastAsia="es-ES"/>
        </w:rPr>
        <w:t>les Imponga</w:t>
      </w:r>
      <w:r>
        <w:rPr>
          <w:spacing w:val="8"/>
          <w:sz w:val="24"/>
          <w:szCs w:val="24"/>
          <w:lang w:val="es-ES" w:eastAsia="es-ES"/>
        </w:rPr>
        <w:t>. Y la relativa a la Antigüedad de los Vehículos es una de esas CONSABIDAS OBLIGACIONES. La cual no puede ser negada por los Concesionarios.</w:t>
      </w:r>
    </w:p>
    <w:p w:rsidR="00000000" w:rsidRDefault="00DA0335">
      <w:pPr>
        <w:kinsoku w:val="0"/>
        <w:overflowPunct w:val="0"/>
        <w:autoSpaceDE/>
        <w:autoSpaceDN/>
        <w:adjustRightInd/>
        <w:spacing w:before="362" w:line="312" w:lineRule="exact"/>
        <w:ind w:left="144" w:right="144"/>
        <w:jc w:val="both"/>
        <w:textAlignment w:val="baseline"/>
        <w:rPr>
          <w:sz w:val="24"/>
          <w:szCs w:val="24"/>
          <w:lang w:val="es-ES" w:eastAsia="es-ES"/>
        </w:rPr>
      </w:pPr>
      <w:r>
        <w:rPr>
          <w:sz w:val="24"/>
          <w:szCs w:val="24"/>
          <w:lang w:val="es-ES" w:eastAsia="es-ES"/>
        </w:rPr>
        <w:t>Por ende y siendo de la Obligación de los Concesionarios el VELAR POR LA DEBIDA PRESTACIÓN DEL SERVICIO EN ELLOS DE</w:t>
      </w:r>
      <w:r>
        <w:rPr>
          <w:sz w:val="24"/>
          <w:szCs w:val="24"/>
          <w:lang w:val="es-ES" w:eastAsia="es-ES"/>
        </w:rPr>
        <w:t xml:space="preserve">LEGADO Y DE HACERLO CON UNIDADES DEBIDAS, al NO haber presentado el Recurrente Pruebas meritorias de Descargo o de Justificación en cuanto a su atraso. Habiendo quedado claro que tanto su Contrato de Concesión como la Normativa de Mérito </w:t>
      </w:r>
      <w:r>
        <w:rPr>
          <w:i/>
          <w:iCs/>
          <w:sz w:val="24"/>
          <w:szCs w:val="24"/>
          <w:lang w:val="es-ES" w:eastAsia="es-ES"/>
        </w:rPr>
        <w:t>(Reglamento de Car</w:t>
      </w:r>
      <w:r>
        <w:rPr>
          <w:i/>
          <w:iCs/>
          <w:sz w:val="24"/>
          <w:szCs w:val="24"/>
          <w:lang w:val="es-ES" w:eastAsia="es-ES"/>
        </w:rPr>
        <w:t xml:space="preserve">acterísticas y Condiciones Generales de los Vehículos Taxi, Decreto Ejecutivo No. 32261-MOPT), </w:t>
      </w:r>
      <w:r>
        <w:rPr>
          <w:sz w:val="24"/>
          <w:szCs w:val="24"/>
          <w:lang w:val="es-ES" w:eastAsia="es-ES"/>
        </w:rPr>
        <w:t>le</w:t>
      </w:r>
    </w:p>
    <w:p w:rsidR="00000000" w:rsidRDefault="00DA0335">
      <w:pPr>
        <w:widowControl/>
        <w:rPr>
          <w:sz w:val="24"/>
          <w:szCs w:val="24"/>
        </w:rPr>
        <w:sectPr w:rsidR="00000000">
          <w:pgSz w:w="12240" w:h="15840"/>
          <w:pgMar w:top="1420" w:right="1476" w:bottom="1039" w:left="1587" w:header="720" w:footer="720" w:gutter="0"/>
          <w:cols w:space="720"/>
          <w:noEndnote/>
        </w:sectPr>
      </w:pPr>
    </w:p>
    <w:p w:rsidR="00000000" w:rsidRDefault="00DA0335" w:rsidP="00DA0335">
      <w:pPr>
        <w:kinsoku w:val="0"/>
        <w:overflowPunct w:val="0"/>
        <w:autoSpaceDE/>
        <w:autoSpaceDN/>
        <w:adjustRightInd/>
        <w:spacing w:before="58" w:line="314" w:lineRule="exact"/>
        <w:ind w:left="144" w:right="144"/>
        <w:jc w:val="both"/>
        <w:textAlignment w:val="baseline"/>
        <w:rPr>
          <w:sz w:val="24"/>
          <w:szCs w:val="24"/>
          <w:lang w:val="es-ES" w:eastAsia="es-ES"/>
        </w:rPr>
      </w:pPr>
      <w:r>
        <w:rPr>
          <w:sz w:val="24"/>
          <w:szCs w:val="24"/>
          <w:lang w:val="es-ES" w:eastAsia="es-ES"/>
        </w:rPr>
        <w:lastRenderedPageBreak/>
        <w:t xml:space="preserve">determinaban la </w:t>
      </w:r>
      <w:r>
        <w:rPr>
          <w:b/>
          <w:bCs/>
          <w:sz w:val="24"/>
          <w:szCs w:val="24"/>
          <w:u w:val="single"/>
          <w:lang w:val="es-ES" w:eastAsia="es-ES"/>
        </w:rPr>
        <w:t>RESPONSABILIDAD</w:t>
      </w:r>
      <w:r>
        <w:rPr>
          <w:sz w:val="24"/>
          <w:szCs w:val="24"/>
          <w:lang w:val="es-ES" w:eastAsia="es-ES"/>
        </w:rPr>
        <w:t xml:space="preserve"> de </w:t>
      </w:r>
      <w:r>
        <w:rPr>
          <w:b/>
          <w:bCs/>
          <w:sz w:val="24"/>
          <w:szCs w:val="24"/>
          <w:lang w:val="es-ES" w:eastAsia="es-ES"/>
        </w:rPr>
        <w:t>SUSTITUIR SU UNIDAD TAXI A LOS 15 AÑOS DE ANTIGÜEDAD, CONTADOS A PARTIR DE SU AÑO DE MODELO O FABRICACIÓN.</w:t>
      </w:r>
      <w:r>
        <w:rPr>
          <w:b/>
          <w:bCs/>
          <w:sz w:val="24"/>
          <w:szCs w:val="24"/>
          <w:lang w:val="es-ES" w:eastAsia="es-ES"/>
        </w:rPr>
        <w:t xml:space="preserve"> </w:t>
      </w:r>
      <w:r>
        <w:rPr>
          <w:sz w:val="24"/>
          <w:szCs w:val="24"/>
          <w:lang w:val="es-ES" w:eastAsia="es-ES"/>
        </w:rPr>
        <w:t xml:space="preserve">Es evidente que lo actuado en este Caso por el Consejo de Transporte Público se ajusta al mérito y al </w:t>
      </w:r>
      <w:r>
        <w:rPr>
          <w:i/>
          <w:iCs/>
          <w:sz w:val="24"/>
          <w:szCs w:val="24"/>
          <w:lang w:val="es-ES" w:eastAsia="es-ES"/>
        </w:rPr>
        <w:t xml:space="preserve">factum </w:t>
      </w:r>
      <w:r>
        <w:rPr>
          <w:sz w:val="24"/>
          <w:szCs w:val="24"/>
          <w:lang w:val="es-ES" w:eastAsia="es-ES"/>
        </w:rPr>
        <w:t xml:space="preserve">del mismo y a la Legalidad Imperante. Siendo </w:t>
      </w:r>
      <w:r>
        <w:rPr>
          <w:sz w:val="24"/>
          <w:szCs w:val="24"/>
          <w:lang w:val="es-ES" w:eastAsia="es-ES"/>
        </w:rPr>
        <w:t>Improcedentes las Acciones Recursivas que se atienden.</w:t>
      </w:r>
    </w:p>
    <w:p w:rsidR="00000000" w:rsidRDefault="00DA0335">
      <w:pPr>
        <w:kinsoku w:val="0"/>
        <w:overflowPunct w:val="0"/>
        <w:autoSpaceDE/>
        <w:autoSpaceDN/>
        <w:adjustRightInd/>
        <w:spacing w:before="353" w:line="277" w:lineRule="exact"/>
        <w:ind w:left="144" w:right="144"/>
        <w:jc w:val="both"/>
        <w:textAlignment w:val="baseline"/>
        <w:rPr>
          <w:sz w:val="24"/>
          <w:szCs w:val="24"/>
          <w:lang w:val="es-ES" w:eastAsia="es-ES"/>
        </w:rPr>
      </w:pPr>
      <w:r>
        <w:rPr>
          <w:sz w:val="24"/>
          <w:szCs w:val="24"/>
          <w:lang w:val="es-ES" w:eastAsia="es-ES"/>
        </w:rPr>
        <w:t xml:space="preserve">Y en cuanto a la </w:t>
      </w:r>
      <w:r>
        <w:rPr>
          <w:b/>
          <w:bCs/>
          <w:i/>
          <w:iCs/>
          <w:sz w:val="24"/>
          <w:szCs w:val="24"/>
          <w:lang w:val="es-ES" w:eastAsia="es-ES"/>
        </w:rPr>
        <w:t xml:space="preserve">PROPORCIONALIDAD </w:t>
      </w:r>
      <w:r>
        <w:rPr>
          <w:sz w:val="24"/>
          <w:szCs w:val="24"/>
          <w:lang w:val="es-ES" w:eastAsia="es-ES"/>
        </w:rPr>
        <w:t xml:space="preserve">y/o </w:t>
      </w:r>
      <w:r>
        <w:rPr>
          <w:b/>
          <w:bCs/>
          <w:i/>
          <w:iCs/>
          <w:sz w:val="24"/>
          <w:szCs w:val="24"/>
          <w:lang w:val="es-ES" w:eastAsia="es-ES"/>
        </w:rPr>
        <w:t>RAZONABI</w:t>
      </w:r>
      <w:r>
        <w:rPr>
          <w:b/>
          <w:bCs/>
          <w:i/>
          <w:iCs/>
          <w:sz w:val="24"/>
          <w:szCs w:val="24"/>
          <w:lang w:val="es-ES" w:eastAsia="es-ES"/>
        </w:rPr>
        <w:t xml:space="preserve">LIDAD </w:t>
      </w:r>
      <w:r>
        <w:rPr>
          <w:sz w:val="24"/>
          <w:szCs w:val="24"/>
          <w:lang w:val="es-ES" w:eastAsia="es-ES"/>
        </w:rPr>
        <w:t xml:space="preserve">de la Sanción Aplicada, es claro que el Artículo 40, Inciso a), de la Ley No. 7969 determina que el Consejo de Transporte Público PUEDE Disponer de la Sanción de Cancelación de la Concesión </w:t>
      </w:r>
      <w:r>
        <w:rPr>
          <w:b/>
          <w:bCs/>
          <w:i/>
          <w:iCs/>
          <w:sz w:val="24"/>
          <w:szCs w:val="24"/>
          <w:lang w:val="es-ES" w:eastAsia="es-ES"/>
        </w:rPr>
        <w:t>cuando medien Incumplimientos a las Obligaciones y los Deber</w:t>
      </w:r>
      <w:r>
        <w:rPr>
          <w:b/>
          <w:bCs/>
          <w:i/>
          <w:iCs/>
          <w:sz w:val="24"/>
          <w:szCs w:val="24"/>
          <w:lang w:val="es-ES" w:eastAsia="es-ES"/>
        </w:rPr>
        <w:t xml:space="preserve">es fijados </w:t>
      </w:r>
      <w:r>
        <w:rPr>
          <w:b/>
          <w:bCs/>
          <w:i/>
          <w:iCs/>
          <w:sz w:val="24"/>
          <w:szCs w:val="24"/>
          <w:lang w:val="es-ES" w:eastAsia="es-ES"/>
        </w:rPr>
        <w:t xml:space="preserve">en esta Ley, su Reglamento, el Contrato o Leyes y Reglamentos conexos. </w:t>
      </w:r>
      <w:r>
        <w:rPr>
          <w:sz w:val="24"/>
          <w:szCs w:val="24"/>
          <w:lang w:val="es-ES" w:eastAsia="es-ES"/>
        </w:rPr>
        <w:t>Determinándose que tal NO es una Norma Imperativa, en mérito de la cual en Todo Caso (de forma Irrestricta), el Consejo DEBA Cancelar o Caducar y quedando a su Discresionali</w:t>
      </w:r>
      <w:r>
        <w:rPr>
          <w:sz w:val="24"/>
          <w:szCs w:val="24"/>
          <w:lang w:val="es-ES" w:eastAsia="es-ES"/>
        </w:rPr>
        <w:t xml:space="preserve">dad y según los Aspectos, Hechos y Elementos Probatorios de cada Caso, Optar o No por Aplicar. Lo cual Puede Utilizarse o No de forma Consonante </w:t>
      </w:r>
      <w:r>
        <w:rPr>
          <w:i/>
          <w:iCs/>
          <w:sz w:val="24"/>
          <w:szCs w:val="24"/>
          <w:lang w:val="es-ES" w:eastAsia="es-ES"/>
        </w:rPr>
        <w:t xml:space="preserve">(Contrastadamente) </w:t>
      </w:r>
      <w:r>
        <w:rPr>
          <w:sz w:val="24"/>
          <w:szCs w:val="24"/>
          <w:lang w:val="es-ES" w:eastAsia="es-ES"/>
        </w:rPr>
        <w:t xml:space="preserve">con lo Pactado Contractualmente. Y en la especie, como ya se dijo, el Tiempo de Duración en </w:t>
      </w:r>
      <w:r>
        <w:rPr>
          <w:sz w:val="24"/>
          <w:szCs w:val="24"/>
          <w:lang w:val="es-ES" w:eastAsia="es-ES"/>
        </w:rPr>
        <w:t xml:space="preserve">cuanto al Cambio de Unidad </w:t>
      </w:r>
      <w:r>
        <w:rPr>
          <w:i/>
          <w:iCs/>
          <w:sz w:val="24"/>
          <w:szCs w:val="24"/>
          <w:lang w:val="es-ES" w:eastAsia="es-ES"/>
        </w:rPr>
        <w:t xml:space="preserve">(CASI AÑO Y MEDIO) </w:t>
      </w:r>
      <w:r>
        <w:rPr>
          <w:sz w:val="24"/>
          <w:szCs w:val="24"/>
          <w:lang w:val="es-ES" w:eastAsia="es-ES"/>
        </w:rPr>
        <w:t>y la Falta de Justificantes Meritorias o Aceptables, estima este Tribunal que dan Mérito para la Cancelación de Concesión Operada.</w:t>
      </w:r>
    </w:p>
    <w:p w:rsidR="00000000" w:rsidRDefault="00DA0335">
      <w:pPr>
        <w:kinsoku w:val="0"/>
        <w:overflowPunct w:val="0"/>
        <w:autoSpaceDE/>
        <w:autoSpaceDN/>
        <w:adjustRightInd/>
        <w:spacing w:before="605" w:line="262" w:lineRule="exact"/>
        <w:ind w:left="144"/>
        <w:textAlignment w:val="baseline"/>
        <w:rPr>
          <w:b/>
          <w:bCs/>
          <w:sz w:val="24"/>
          <w:szCs w:val="24"/>
          <w:lang w:val="es-ES" w:eastAsia="es-ES"/>
        </w:rPr>
      </w:pPr>
      <w:r>
        <w:rPr>
          <w:b/>
          <w:bCs/>
          <w:sz w:val="24"/>
          <w:szCs w:val="24"/>
          <w:lang w:val="es-ES" w:eastAsia="es-ES"/>
        </w:rPr>
        <w:t>NULIDAD, EN GENERAL:</w:t>
      </w:r>
    </w:p>
    <w:p w:rsidR="00000000" w:rsidRDefault="00DA0335" w:rsidP="00DA0335">
      <w:pPr>
        <w:kinsoku w:val="0"/>
        <w:overflowPunct w:val="0"/>
        <w:autoSpaceDE/>
        <w:autoSpaceDN/>
        <w:adjustRightInd/>
        <w:spacing w:before="161" w:line="277" w:lineRule="exact"/>
        <w:ind w:left="144"/>
        <w:jc w:val="both"/>
        <w:textAlignment w:val="baseline"/>
        <w:rPr>
          <w:sz w:val="24"/>
          <w:szCs w:val="24"/>
          <w:lang w:val="es-ES" w:eastAsia="es-ES"/>
        </w:rPr>
      </w:pPr>
      <w:r>
        <w:rPr>
          <w:sz w:val="24"/>
          <w:szCs w:val="24"/>
          <w:lang w:val="es-ES" w:eastAsia="es-ES"/>
        </w:rPr>
        <w:t>En mé</w:t>
      </w:r>
      <w:r>
        <w:rPr>
          <w:sz w:val="24"/>
          <w:szCs w:val="24"/>
          <w:lang w:val="es-ES" w:eastAsia="es-ES"/>
        </w:rPr>
        <w:t xml:space="preserve">rito de todo lo expresado antes y del Expediente del Caso en particular, NO ESTIMA </w:t>
      </w:r>
      <w:r>
        <w:rPr>
          <w:sz w:val="24"/>
          <w:szCs w:val="24"/>
          <w:lang w:val="es-ES" w:eastAsia="es-ES"/>
        </w:rPr>
        <w:t xml:space="preserve">este Tribunal como Procedentes ni el Recurso de Apelación conocido, ni la Acción de Nulidad concomitante al mismo. No visualizándose o considerándose la existencia de algún </w:t>
      </w:r>
      <w:r>
        <w:rPr>
          <w:sz w:val="24"/>
          <w:szCs w:val="24"/>
          <w:lang w:val="es-ES" w:eastAsia="es-ES"/>
        </w:rPr>
        <w:t>Vicio o Falencia en cuanto a alguno de los Elementos Esenciales Objetivos, Subjetivos y/o Formales que pueda determinar un Vicio Nugatorio en cuanto a lo actuado en el Caso de marras; así como tampoco se determina alguna Infracción a los Derechos Fundament</w:t>
      </w:r>
      <w:r>
        <w:rPr>
          <w:sz w:val="24"/>
          <w:szCs w:val="24"/>
          <w:lang w:val="es-ES" w:eastAsia="es-ES"/>
        </w:rPr>
        <w:t>ales de</w:t>
      </w:r>
    </w:p>
    <w:p w:rsidR="00000000" w:rsidRDefault="00DA0335">
      <w:pPr>
        <w:kinsoku w:val="0"/>
        <w:overflowPunct w:val="0"/>
        <w:autoSpaceDE/>
        <w:autoSpaceDN/>
        <w:adjustRightInd/>
        <w:spacing w:before="56" w:line="272" w:lineRule="exact"/>
        <w:ind w:left="144"/>
        <w:textAlignment w:val="baseline"/>
        <w:rPr>
          <w:sz w:val="24"/>
          <w:szCs w:val="24"/>
          <w:lang w:val="es-ES" w:eastAsia="es-ES"/>
        </w:rPr>
      </w:pPr>
      <w:r>
        <w:rPr>
          <w:sz w:val="24"/>
          <w:szCs w:val="24"/>
          <w:lang w:val="es-ES" w:eastAsia="es-ES"/>
        </w:rPr>
        <w:t>Justicia, Debido Proceso y/o Defensa.</w:t>
      </w:r>
    </w:p>
    <w:p w:rsidR="00000000" w:rsidRDefault="00DA0335">
      <w:pPr>
        <w:kinsoku w:val="0"/>
        <w:overflowPunct w:val="0"/>
        <w:autoSpaceDE/>
        <w:autoSpaceDN/>
        <w:adjustRightInd/>
        <w:spacing w:before="326" w:line="311" w:lineRule="exact"/>
        <w:ind w:left="144" w:right="144"/>
        <w:jc w:val="both"/>
        <w:textAlignment w:val="baseline"/>
        <w:rPr>
          <w:spacing w:val="-1"/>
          <w:sz w:val="24"/>
          <w:szCs w:val="24"/>
          <w:lang w:val="es-ES" w:eastAsia="es-ES"/>
        </w:rPr>
      </w:pPr>
      <w:r>
        <w:rPr>
          <w:spacing w:val="-1"/>
          <w:sz w:val="24"/>
          <w:szCs w:val="24"/>
          <w:lang w:val="es-ES" w:eastAsia="es-ES"/>
        </w:rPr>
        <w:t>Vale Reiterar que sí bien es cierto este Tribunal, en consideración del Entorno Socio/Económico que Vive el Taxismo Nacional en lo Actual y al Carácter Social de las Concesiones de Taxi, en algunos Casos y segú</w:t>
      </w:r>
      <w:r>
        <w:rPr>
          <w:spacing w:val="-1"/>
          <w:sz w:val="24"/>
          <w:szCs w:val="24"/>
          <w:lang w:val="es-ES" w:eastAsia="es-ES"/>
        </w:rPr>
        <w:t>n la Particularidad de los mismos, ha Considerado que el Atraso en el Cambio de las Unidades por el Motivo Apuntado puede verse como una Falta o Incumplimiento No Grave, sino como un Atraso de Cumplimiento o Cumplimiento Tardío, en cuanto a un Caso como el</w:t>
      </w:r>
      <w:r>
        <w:rPr>
          <w:spacing w:val="-1"/>
          <w:sz w:val="24"/>
          <w:szCs w:val="24"/>
          <w:lang w:val="es-ES" w:eastAsia="es-ES"/>
        </w:rPr>
        <w:t xml:space="preserve"> que nos ocupa no estima Procedente que</w:t>
      </w:r>
    </w:p>
    <w:p w:rsidR="00000000" w:rsidRDefault="00DA0335">
      <w:pPr>
        <w:kinsoku w:val="0"/>
        <w:overflowPunct w:val="0"/>
        <w:autoSpaceDE/>
        <w:autoSpaceDN/>
        <w:adjustRightInd/>
        <w:spacing w:line="310" w:lineRule="exact"/>
        <w:ind w:left="144" w:right="144"/>
        <w:jc w:val="both"/>
        <w:textAlignment w:val="baseline"/>
        <w:rPr>
          <w:b/>
          <w:bCs/>
          <w:sz w:val="24"/>
          <w:szCs w:val="24"/>
          <w:lang w:val="es-ES" w:eastAsia="es-ES"/>
        </w:rPr>
      </w:pPr>
      <w:r>
        <w:rPr>
          <w:sz w:val="24"/>
          <w:szCs w:val="24"/>
          <w:lang w:val="es-ES" w:eastAsia="es-ES"/>
        </w:rPr>
        <w:t xml:space="preserve">el Cambio de Unidad por Antiguedad, en Beneficio del Servicio Público y de sus Usuarios, </w:t>
      </w:r>
      <w:r>
        <w:rPr>
          <w:b/>
          <w:bCs/>
          <w:sz w:val="24"/>
          <w:szCs w:val="24"/>
          <w:lang w:val="es-ES" w:eastAsia="es-ES"/>
        </w:rPr>
        <w:t>SE VENGA A SOLICITAR CON CASI UN AÑO Y MEDIO DE DILACIÓN.</w:t>
      </w:r>
    </w:p>
    <w:p w:rsidR="00000000" w:rsidRDefault="00DA0335">
      <w:pPr>
        <w:kinsoku w:val="0"/>
        <w:overflowPunct w:val="0"/>
        <w:autoSpaceDE/>
        <w:autoSpaceDN/>
        <w:adjustRightInd/>
        <w:spacing w:before="285" w:after="974" w:line="327" w:lineRule="exact"/>
        <w:ind w:left="144" w:right="144"/>
        <w:jc w:val="both"/>
        <w:textAlignment w:val="baseline"/>
        <w:rPr>
          <w:sz w:val="24"/>
          <w:szCs w:val="24"/>
          <w:lang w:val="es-ES" w:eastAsia="es-ES"/>
        </w:rPr>
      </w:pPr>
      <w:r>
        <w:rPr>
          <w:sz w:val="24"/>
          <w:szCs w:val="24"/>
          <w:lang w:val="es-ES" w:eastAsia="es-ES"/>
        </w:rPr>
        <w:t>Conforme a lo antes referido se estiman como Improcedentes las Accion</w:t>
      </w:r>
      <w:r>
        <w:rPr>
          <w:sz w:val="24"/>
          <w:szCs w:val="24"/>
          <w:lang w:val="es-ES" w:eastAsia="es-ES"/>
        </w:rPr>
        <w:t>es Recursivas y de Nulidad Analizadas, disponiéndose su Rechazo.</w:t>
      </w:r>
    </w:p>
    <w:p w:rsidR="00000000" w:rsidRDefault="00DA0335">
      <w:pPr>
        <w:widowControl/>
        <w:rPr>
          <w:sz w:val="24"/>
          <w:szCs w:val="24"/>
        </w:rPr>
        <w:sectPr w:rsidR="00000000">
          <w:pgSz w:w="12240" w:h="15840"/>
          <w:pgMar w:top="1340" w:right="1393" w:bottom="524" w:left="1567" w:header="720" w:footer="720" w:gutter="0"/>
          <w:cols w:space="720"/>
          <w:noEndnote/>
        </w:sectPr>
      </w:pPr>
    </w:p>
    <w:p w:rsidR="00000000" w:rsidRDefault="00DA0335">
      <w:pPr>
        <w:widowControl/>
        <w:rPr>
          <w:sz w:val="24"/>
          <w:szCs w:val="24"/>
        </w:rPr>
        <w:sectPr w:rsidR="00000000">
          <w:type w:val="continuous"/>
          <w:pgSz w:w="12240" w:h="15840"/>
          <w:pgMar w:top="1340" w:right="1569" w:bottom="524" w:left="8011" w:header="720" w:footer="720" w:gutter="0"/>
          <w:cols w:space="720"/>
          <w:noEndnote/>
        </w:sectPr>
      </w:pPr>
    </w:p>
    <w:p w:rsidR="00000000" w:rsidRDefault="00DA0335">
      <w:pPr>
        <w:kinsoku w:val="0"/>
        <w:overflowPunct w:val="0"/>
        <w:autoSpaceDE/>
        <w:autoSpaceDN/>
        <w:adjustRightInd/>
        <w:spacing w:before="10" w:after="216" w:line="278" w:lineRule="exact"/>
        <w:jc w:val="center"/>
        <w:textAlignment w:val="baseline"/>
        <w:rPr>
          <w:b/>
          <w:bCs/>
          <w:i/>
          <w:iCs/>
          <w:spacing w:val="8"/>
          <w:sz w:val="24"/>
          <w:szCs w:val="24"/>
          <w:lang w:val="es-ES" w:eastAsia="es-ES"/>
        </w:rPr>
      </w:pPr>
      <w:r>
        <w:rPr>
          <w:b/>
          <w:bCs/>
          <w:i/>
          <w:iCs/>
          <w:spacing w:val="8"/>
          <w:sz w:val="24"/>
          <w:szCs w:val="24"/>
          <w:lang w:val="es-ES" w:eastAsia="es-ES"/>
        </w:rPr>
        <w:lastRenderedPageBreak/>
        <w:t>Por Tanto</w:t>
      </w:r>
    </w:p>
    <w:p w:rsidR="00000000" w:rsidRPr="00DA0335" w:rsidRDefault="00DA0335">
      <w:pPr>
        <w:numPr>
          <w:ilvl w:val="0"/>
          <w:numId w:val="5"/>
        </w:numPr>
        <w:kinsoku w:val="0"/>
        <w:overflowPunct w:val="0"/>
        <w:autoSpaceDE/>
        <w:autoSpaceDN/>
        <w:adjustRightInd/>
        <w:spacing w:before="42" w:line="275" w:lineRule="exact"/>
        <w:jc w:val="both"/>
        <w:textAlignment w:val="baseline"/>
        <w:rPr>
          <w:b/>
          <w:bCs/>
          <w:iCs/>
          <w:spacing w:val="8"/>
          <w:sz w:val="24"/>
          <w:szCs w:val="24"/>
          <w:lang w:val="es-ES" w:eastAsia="es-ES"/>
        </w:rPr>
      </w:pPr>
      <w:r w:rsidRPr="00DA0335">
        <w:rPr>
          <w:b/>
          <w:bCs/>
          <w:iCs/>
          <w:spacing w:val="8"/>
          <w:sz w:val="24"/>
          <w:szCs w:val="24"/>
          <w:lang w:val="es-ES" w:eastAsia="es-ES"/>
        </w:rPr>
        <w:t xml:space="preserve">Se </w:t>
      </w:r>
      <w:r w:rsidRPr="00DA0335">
        <w:rPr>
          <w:b/>
          <w:bCs/>
          <w:iCs/>
          <w:spacing w:val="8"/>
          <w:sz w:val="24"/>
          <w:szCs w:val="24"/>
          <w:u w:val="single"/>
          <w:lang w:val="es-ES" w:eastAsia="es-ES"/>
        </w:rPr>
        <w:t>DECLARAN SIN LUGAR</w:t>
      </w:r>
      <w:r w:rsidRPr="00DA0335">
        <w:rPr>
          <w:b/>
          <w:bCs/>
          <w:iCs/>
          <w:spacing w:val="8"/>
          <w:sz w:val="24"/>
          <w:szCs w:val="24"/>
          <w:lang w:val="es-ES" w:eastAsia="es-ES"/>
        </w:rPr>
        <w:t xml:space="preserve"> el RECURSO DE APELACIÓN </w:t>
      </w:r>
      <w:r w:rsidRPr="00DA0335">
        <w:rPr>
          <w:b/>
          <w:bCs/>
          <w:iCs/>
          <w:spacing w:val="8"/>
          <w:sz w:val="19"/>
          <w:szCs w:val="19"/>
          <w:lang w:val="es-ES" w:eastAsia="es-ES"/>
        </w:rPr>
        <w:t xml:space="preserve">EN SUBSIDIO Y LA </w:t>
      </w:r>
      <w:r w:rsidRPr="00DA0335">
        <w:rPr>
          <w:b/>
          <w:bCs/>
          <w:iCs/>
          <w:spacing w:val="8"/>
          <w:sz w:val="24"/>
          <w:szCs w:val="24"/>
          <w:lang w:val="es-ES" w:eastAsia="es-ES"/>
        </w:rPr>
        <w:t xml:space="preserve">ACCIÓN DE NULIDAD </w:t>
      </w:r>
      <w:r w:rsidRPr="00DA0335">
        <w:rPr>
          <w:b/>
          <w:bCs/>
          <w:iCs/>
          <w:spacing w:val="8"/>
          <w:sz w:val="19"/>
          <w:szCs w:val="19"/>
          <w:lang w:val="es-ES" w:eastAsia="es-ES"/>
        </w:rPr>
        <w:t xml:space="preserve">CONCOMITANTE, </w:t>
      </w:r>
      <w:r w:rsidRPr="00DA0335">
        <w:rPr>
          <w:bCs/>
          <w:iCs/>
          <w:spacing w:val="8"/>
          <w:sz w:val="24"/>
          <w:szCs w:val="24"/>
          <w:lang w:val="es-ES" w:eastAsia="es-ES"/>
        </w:rPr>
        <w:t>interpuestos por el Señor</w:t>
      </w:r>
      <w:r w:rsidRPr="00DA0335">
        <w:rPr>
          <w:b/>
          <w:bCs/>
          <w:iCs/>
          <w:spacing w:val="8"/>
          <w:sz w:val="24"/>
          <w:szCs w:val="24"/>
          <w:lang w:val="es-ES" w:eastAsia="es-ES"/>
        </w:rPr>
        <w:t xml:space="preserve"> M.A.C.</w:t>
      </w:r>
      <w:r w:rsidRPr="00DA0335">
        <w:rPr>
          <w:b/>
          <w:bCs/>
          <w:iCs/>
          <w:spacing w:val="8"/>
          <w:sz w:val="24"/>
          <w:szCs w:val="24"/>
          <w:lang w:val="es-ES" w:eastAsia="es-ES"/>
        </w:rPr>
        <w:t xml:space="preserve">, </w:t>
      </w:r>
      <w:r w:rsidRPr="00DA0335">
        <w:rPr>
          <w:bCs/>
          <w:iCs/>
          <w:spacing w:val="8"/>
          <w:sz w:val="24"/>
          <w:szCs w:val="24"/>
          <w:lang w:val="es-ES" w:eastAsia="es-ES"/>
        </w:rPr>
        <w:t>de calidades conocidas y portador de la cédula de identidad nú</w:t>
      </w:r>
      <w:r w:rsidRPr="00DA0335">
        <w:rPr>
          <w:bCs/>
          <w:iCs/>
          <w:spacing w:val="8"/>
          <w:sz w:val="24"/>
          <w:szCs w:val="24"/>
          <w:lang w:val="es-ES" w:eastAsia="es-ES"/>
        </w:rPr>
        <w:t xml:space="preserve">mero </w:t>
      </w:r>
      <w:r>
        <w:rPr>
          <w:bCs/>
          <w:iCs/>
          <w:spacing w:val="8"/>
          <w:sz w:val="24"/>
          <w:szCs w:val="24"/>
          <w:lang w:val="es-ES" w:eastAsia="es-ES"/>
        </w:rPr>
        <w:t>…</w:t>
      </w:r>
      <w:r w:rsidRPr="00DA0335">
        <w:rPr>
          <w:bCs/>
          <w:iCs/>
          <w:spacing w:val="8"/>
          <w:sz w:val="24"/>
          <w:szCs w:val="24"/>
          <w:lang w:val="es-ES" w:eastAsia="es-ES"/>
        </w:rPr>
        <w:t>, Concesionario del Servicio Público de Taxi con la</w:t>
      </w:r>
      <w:r w:rsidRPr="00DA0335">
        <w:rPr>
          <w:b/>
          <w:bCs/>
          <w:iCs/>
          <w:spacing w:val="8"/>
          <w:sz w:val="24"/>
          <w:szCs w:val="24"/>
          <w:lang w:val="es-ES" w:eastAsia="es-ES"/>
        </w:rPr>
        <w:t xml:space="preserve"> </w:t>
      </w:r>
      <w:r w:rsidRPr="00DA0335">
        <w:rPr>
          <w:b/>
          <w:bCs/>
          <w:iCs/>
          <w:spacing w:val="8"/>
          <w:sz w:val="24"/>
          <w:szCs w:val="24"/>
          <w:u w:val="single"/>
          <w:lang w:val="es-ES" w:eastAsia="es-ES"/>
        </w:rPr>
        <w:t>Placa TSJ-</w:t>
      </w:r>
      <w:r>
        <w:rPr>
          <w:b/>
          <w:bCs/>
          <w:iCs/>
          <w:spacing w:val="8"/>
          <w:sz w:val="24"/>
          <w:szCs w:val="24"/>
          <w:u w:val="single"/>
          <w:lang w:val="es-ES" w:eastAsia="es-ES"/>
        </w:rPr>
        <w:t>XXXX</w:t>
      </w:r>
      <w:r w:rsidRPr="00DA0335">
        <w:rPr>
          <w:b/>
          <w:bCs/>
          <w:iCs/>
          <w:spacing w:val="8"/>
          <w:sz w:val="24"/>
          <w:szCs w:val="24"/>
          <w:u w:val="single"/>
          <w:lang w:val="es-ES" w:eastAsia="es-ES"/>
        </w:rPr>
        <w:t>,</w:t>
      </w:r>
      <w:r w:rsidRPr="00DA0335">
        <w:rPr>
          <w:b/>
          <w:bCs/>
          <w:iCs/>
          <w:spacing w:val="8"/>
          <w:sz w:val="24"/>
          <w:szCs w:val="24"/>
          <w:lang w:val="es-ES" w:eastAsia="es-ES"/>
        </w:rPr>
        <w:t xml:space="preserve"> </w:t>
      </w:r>
      <w:r w:rsidRPr="00DA0335">
        <w:rPr>
          <w:bCs/>
          <w:iCs/>
          <w:spacing w:val="8"/>
          <w:sz w:val="24"/>
          <w:szCs w:val="24"/>
          <w:lang w:val="es-ES" w:eastAsia="es-ES"/>
        </w:rPr>
        <w:t>contra el Artículo</w:t>
      </w:r>
      <w:r w:rsidRPr="00DA0335">
        <w:rPr>
          <w:b/>
          <w:bCs/>
          <w:iCs/>
          <w:spacing w:val="8"/>
          <w:sz w:val="24"/>
          <w:szCs w:val="24"/>
          <w:lang w:val="es-ES" w:eastAsia="es-ES"/>
        </w:rPr>
        <w:t xml:space="preserve"> 7.2.2 de la Sesión Ordinaria N. 65-2016, </w:t>
      </w:r>
      <w:r w:rsidRPr="00DA0335">
        <w:rPr>
          <w:bCs/>
          <w:iCs/>
          <w:spacing w:val="8"/>
          <w:sz w:val="24"/>
          <w:szCs w:val="24"/>
          <w:lang w:val="es-ES" w:eastAsia="es-ES"/>
        </w:rPr>
        <w:t>celebrada el 22 de Diciembre del 2016 por la Junta Directiva del Consejo de Transporte Público.</w:t>
      </w:r>
    </w:p>
    <w:p w:rsidR="00000000" w:rsidRPr="00DA0335" w:rsidRDefault="00DA0335">
      <w:pPr>
        <w:numPr>
          <w:ilvl w:val="0"/>
          <w:numId w:val="5"/>
        </w:numPr>
        <w:kinsoku w:val="0"/>
        <w:overflowPunct w:val="0"/>
        <w:autoSpaceDE/>
        <w:autoSpaceDN/>
        <w:adjustRightInd/>
        <w:spacing w:before="281" w:line="277" w:lineRule="exact"/>
        <w:jc w:val="both"/>
        <w:textAlignment w:val="baseline"/>
        <w:rPr>
          <w:b/>
          <w:bCs/>
          <w:iCs/>
          <w:spacing w:val="8"/>
          <w:sz w:val="24"/>
          <w:szCs w:val="24"/>
          <w:lang w:val="es-ES" w:eastAsia="es-ES"/>
        </w:rPr>
      </w:pPr>
      <w:r w:rsidRPr="00DA0335">
        <w:rPr>
          <w:bCs/>
          <w:iCs/>
          <w:spacing w:val="8"/>
          <w:sz w:val="24"/>
          <w:szCs w:val="24"/>
          <w:lang w:val="es-ES" w:eastAsia="es-ES"/>
        </w:rPr>
        <w:t>Conforme las deter</w:t>
      </w:r>
      <w:r w:rsidRPr="00DA0335">
        <w:rPr>
          <w:bCs/>
          <w:iCs/>
          <w:spacing w:val="8"/>
          <w:sz w:val="24"/>
          <w:szCs w:val="24"/>
          <w:lang w:val="es-ES" w:eastAsia="es-ES"/>
        </w:rPr>
        <w:t>minaciones del numeral 22, inciso e), de la Ley No. 7969, se Da por Agotada la Vía Administrativa, en cuanto a lo de particular resolución, toda vez que contra este Acto Resolutorio no procede Recurso alguno</w:t>
      </w:r>
      <w:r w:rsidRPr="00DA0335">
        <w:rPr>
          <w:b/>
          <w:bCs/>
          <w:iCs/>
          <w:spacing w:val="8"/>
          <w:sz w:val="24"/>
          <w:szCs w:val="24"/>
          <w:lang w:val="es-ES" w:eastAsia="es-ES"/>
        </w:rPr>
        <w:t>.</w:t>
      </w:r>
    </w:p>
    <w:p w:rsidR="00000000" w:rsidRPr="00DA0335" w:rsidRDefault="00DA0335">
      <w:pPr>
        <w:numPr>
          <w:ilvl w:val="0"/>
          <w:numId w:val="6"/>
        </w:numPr>
        <w:kinsoku w:val="0"/>
        <w:overflowPunct w:val="0"/>
        <w:autoSpaceDE/>
        <w:autoSpaceDN/>
        <w:adjustRightInd/>
        <w:spacing w:line="543" w:lineRule="exact"/>
        <w:textAlignment w:val="baseline"/>
        <w:rPr>
          <w:b/>
          <w:bCs/>
          <w:iCs/>
          <w:spacing w:val="8"/>
          <w:sz w:val="24"/>
          <w:szCs w:val="24"/>
          <w:lang w:val="es-ES" w:eastAsia="es-ES"/>
        </w:rPr>
      </w:pPr>
      <w:r w:rsidRPr="00DA0335">
        <w:rPr>
          <w:bCs/>
          <w:iCs/>
          <w:spacing w:val="8"/>
          <w:sz w:val="24"/>
          <w:szCs w:val="24"/>
          <w:lang w:val="es-ES" w:eastAsia="es-ES"/>
        </w:rPr>
        <w:t>Rige a partir de su Notificación.</w:t>
      </w:r>
      <w:r w:rsidRPr="00DA0335">
        <w:rPr>
          <w:b/>
          <w:bCs/>
          <w:iCs/>
          <w:spacing w:val="8"/>
          <w:sz w:val="24"/>
          <w:szCs w:val="24"/>
          <w:lang w:val="es-ES" w:eastAsia="es-ES"/>
        </w:rPr>
        <w:br/>
        <w:t>NOTIFÍQUESE.</w:t>
      </w:r>
    </w:p>
    <w:p w:rsidR="00DA0335" w:rsidRPr="00DA0335" w:rsidRDefault="00DA0335" w:rsidP="00DA0335">
      <w:pPr>
        <w:kinsoku w:val="0"/>
        <w:overflowPunct w:val="0"/>
        <w:autoSpaceDE/>
        <w:autoSpaceDN/>
        <w:adjustRightInd/>
        <w:spacing w:line="543" w:lineRule="exact"/>
        <w:ind w:left="360"/>
        <w:textAlignment w:val="baseline"/>
        <w:rPr>
          <w:bCs/>
          <w:iCs/>
          <w:spacing w:val="8"/>
          <w:sz w:val="24"/>
          <w:szCs w:val="24"/>
          <w:lang w:val="es-ES" w:eastAsia="es-ES"/>
        </w:rPr>
      </w:pPr>
    </w:p>
    <w:p w:rsidR="00DA0335" w:rsidRPr="00CF40A0" w:rsidRDefault="00DA0335" w:rsidP="00DA0335">
      <w:pPr>
        <w:kinsoku w:val="0"/>
        <w:overflowPunct w:val="0"/>
        <w:autoSpaceDE/>
        <w:autoSpaceDN/>
        <w:adjustRightInd/>
        <w:spacing w:after="374" w:line="320" w:lineRule="exact"/>
        <w:ind w:left="648" w:right="72"/>
        <w:jc w:val="center"/>
        <w:textAlignment w:val="baseline"/>
        <w:rPr>
          <w:rStyle w:val="CharacterStyle1"/>
          <w:b/>
          <w:bCs/>
          <w:sz w:val="24"/>
          <w:szCs w:val="24"/>
          <w:lang w:val="es-ES" w:eastAsia="es-ES"/>
        </w:rPr>
      </w:pPr>
      <w:r w:rsidRPr="00CF40A0">
        <w:rPr>
          <w:rStyle w:val="CharacterStyle1"/>
          <w:i/>
          <w:iCs/>
          <w:spacing w:val="5"/>
          <w:sz w:val="26"/>
          <w:szCs w:val="26"/>
        </w:rPr>
        <w:t>Lic. Carlos Miguel Portuguez Méndez</w:t>
      </w:r>
    </w:p>
    <w:p w:rsidR="00DA0335" w:rsidRDefault="00DA0335" w:rsidP="00DA0335">
      <w:pPr>
        <w:pStyle w:val="Style1"/>
        <w:kinsoku w:val="0"/>
        <w:overflowPunct w:val="0"/>
        <w:autoSpaceDE/>
        <w:autoSpaceDN/>
        <w:adjustRightInd/>
        <w:spacing w:after="301" w:line="288" w:lineRule="exact"/>
        <w:ind w:left="648"/>
        <w:jc w:val="center"/>
        <w:textAlignment w:val="baseline"/>
        <w:rPr>
          <w:rStyle w:val="CharacterStyle1"/>
          <w:b/>
          <w:i/>
          <w:iCs/>
          <w:spacing w:val="5"/>
          <w:sz w:val="26"/>
          <w:szCs w:val="26"/>
        </w:rPr>
      </w:pPr>
      <w:r>
        <w:rPr>
          <w:rStyle w:val="CharacterStyle1"/>
          <w:b/>
          <w:i/>
          <w:iCs/>
          <w:spacing w:val="5"/>
          <w:sz w:val="26"/>
          <w:szCs w:val="26"/>
        </w:rPr>
        <w:t>Presidente</w:t>
      </w:r>
    </w:p>
    <w:p w:rsidR="00DA0335" w:rsidRDefault="00DA0335" w:rsidP="00DA0335">
      <w:pPr>
        <w:kinsoku w:val="0"/>
        <w:overflowPunct w:val="0"/>
        <w:autoSpaceDE/>
        <w:autoSpaceDN/>
        <w:adjustRightInd/>
        <w:spacing w:before="313" w:after="358" w:line="294" w:lineRule="exact"/>
        <w:ind w:left="648"/>
        <w:jc w:val="center"/>
        <w:textAlignment w:val="baseline"/>
        <w:rPr>
          <w:rStyle w:val="CharacterStyle1"/>
          <w:b/>
          <w:i/>
          <w:iCs/>
          <w:spacing w:val="5"/>
          <w:sz w:val="26"/>
          <w:szCs w:val="26"/>
        </w:rPr>
      </w:pPr>
      <w:r>
        <w:rPr>
          <w:rStyle w:val="CharacterStyle1"/>
          <w:i/>
          <w:iCs/>
          <w:spacing w:val="5"/>
          <w:sz w:val="26"/>
          <w:szCs w:val="26"/>
        </w:rPr>
        <w:t>Licd</w:t>
      </w:r>
      <w:r w:rsidRPr="00724304">
        <w:rPr>
          <w:rStyle w:val="CharacterStyle1"/>
          <w:i/>
          <w:iCs/>
          <w:spacing w:val="5"/>
          <w:sz w:val="26"/>
          <w:szCs w:val="26"/>
        </w:rPr>
        <w:t>a. Marta Luz Pérez Peláez</w:t>
      </w:r>
      <w:r>
        <w:rPr>
          <w:rStyle w:val="CharacterStyle1"/>
          <w:i/>
          <w:iCs/>
          <w:spacing w:val="5"/>
          <w:sz w:val="26"/>
          <w:szCs w:val="26"/>
        </w:rPr>
        <w:tab/>
      </w:r>
      <w:r>
        <w:rPr>
          <w:rStyle w:val="CharacterStyle1"/>
          <w:i/>
          <w:iCs/>
          <w:spacing w:val="5"/>
          <w:sz w:val="26"/>
          <w:szCs w:val="26"/>
        </w:rPr>
        <w:tab/>
        <w:t>Lic. Mario Quesada Aguirre</w:t>
      </w:r>
      <w:r>
        <w:rPr>
          <w:rStyle w:val="CharacterStyle1"/>
          <w:i/>
          <w:iCs/>
          <w:spacing w:val="5"/>
          <w:sz w:val="26"/>
          <w:szCs w:val="26"/>
        </w:rPr>
        <w:tab/>
        <w:t xml:space="preserve">                             </w:t>
      </w:r>
      <w:bookmarkStart w:id="0" w:name="_GoBack"/>
      <w:bookmarkEnd w:id="0"/>
      <w:r>
        <w:rPr>
          <w:rStyle w:val="CharacterStyle1"/>
          <w:b/>
          <w:i/>
          <w:iCs/>
          <w:spacing w:val="5"/>
          <w:sz w:val="26"/>
          <w:szCs w:val="26"/>
        </w:rPr>
        <w:t>JUEZA</w:t>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t>JUEZ</w:t>
      </w:r>
    </w:p>
    <w:p w:rsidR="00DA0335" w:rsidRDefault="00DA0335" w:rsidP="00DA0335">
      <w:pPr>
        <w:kinsoku w:val="0"/>
        <w:overflowPunct w:val="0"/>
        <w:autoSpaceDE/>
        <w:autoSpaceDN/>
        <w:adjustRightInd/>
        <w:spacing w:line="543" w:lineRule="exact"/>
        <w:ind w:left="360"/>
        <w:textAlignment w:val="baseline"/>
        <w:rPr>
          <w:b/>
          <w:bCs/>
          <w:i/>
          <w:iCs/>
          <w:spacing w:val="8"/>
          <w:sz w:val="24"/>
          <w:szCs w:val="24"/>
          <w:lang w:val="es-ES" w:eastAsia="es-ES"/>
        </w:rPr>
      </w:pPr>
    </w:p>
    <w:sectPr w:rsidR="00DA0335" w:rsidSect="00DA0335">
      <w:pgSz w:w="12240" w:h="15840"/>
      <w:pgMar w:top="1440" w:right="1626" w:bottom="6096" w:left="13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2B07"/>
    <w:multiLevelType w:val="singleLevel"/>
    <w:tmpl w:val="6FCBD328"/>
    <w:lvl w:ilvl="0">
      <w:start w:val="1"/>
      <w:numFmt w:val="decimal"/>
      <w:lvlText w:val="%1.-"/>
      <w:lvlJc w:val="left"/>
      <w:pPr>
        <w:tabs>
          <w:tab w:val="num" w:pos="360"/>
        </w:tabs>
        <w:ind w:left="72"/>
      </w:pPr>
      <w:rPr>
        <w:b/>
        <w:bCs/>
        <w:snapToGrid/>
        <w:sz w:val="24"/>
        <w:szCs w:val="24"/>
      </w:rPr>
    </w:lvl>
  </w:abstractNum>
  <w:abstractNum w:abstractNumId="1" w15:restartNumberingAfterBreak="0">
    <w:nsid w:val="0465D43C"/>
    <w:multiLevelType w:val="singleLevel"/>
    <w:tmpl w:val="7E25C7A4"/>
    <w:lvl w:ilvl="0">
      <w:start w:val="1"/>
      <w:numFmt w:val="upperRoman"/>
      <w:lvlText w:val="%1.-"/>
      <w:lvlJc w:val="left"/>
      <w:pPr>
        <w:tabs>
          <w:tab w:val="num" w:pos="1080"/>
        </w:tabs>
        <w:ind w:left="360"/>
      </w:pPr>
      <w:rPr>
        <w:snapToGrid/>
        <w:sz w:val="24"/>
        <w:szCs w:val="24"/>
      </w:rPr>
    </w:lvl>
  </w:abstractNum>
  <w:abstractNum w:abstractNumId="2" w15:restartNumberingAfterBreak="0">
    <w:nsid w:val="04783EE8"/>
    <w:multiLevelType w:val="singleLevel"/>
    <w:tmpl w:val="D834FB18"/>
    <w:lvl w:ilvl="0">
      <w:start w:val="1"/>
      <w:numFmt w:val="lowerLetter"/>
      <w:lvlText w:val="%1.-"/>
      <w:lvlJc w:val="left"/>
      <w:pPr>
        <w:tabs>
          <w:tab w:val="num" w:pos="720"/>
        </w:tabs>
        <w:ind w:left="72"/>
      </w:pPr>
      <w:rPr>
        <w:b/>
        <w:i/>
        <w:iCs/>
        <w:snapToGrid/>
        <w:spacing w:val="-2"/>
        <w:sz w:val="24"/>
        <w:szCs w:val="24"/>
      </w:rPr>
    </w:lvl>
  </w:abstractNum>
  <w:abstractNum w:abstractNumId="3" w15:restartNumberingAfterBreak="0">
    <w:nsid w:val="07CCF006"/>
    <w:multiLevelType w:val="singleLevel"/>
    <w:tmpl w:val="1B1A27C8"/>
    <w:lvl w:ilvl="0">
      <w:start w:val="3"/>
      <w:numFmt w:val="lowerLetter"/>
      <w:lvlText w:val="%1.-"/>
      <w:lvlJc w:val="left"/>
      <w:pPr>
        <w:tabs>
          <w:tab w:val="num" w:pos="792"/>
        </w:tabs>
        <w:ind w:left="72"/>
      </w:pPr>
      <w:rPr>
        <w:b/>
        <w:i/>
        <w:iCs/>
        <w:snapToGrid/>
        <w:sz w:val="24"/>
        <w:szCs w:val="24"/>
      </w:rPr>
    </w:lvl>
  </w:abstractNum>
  <w:abstractNum w:abstractNumId="4" w15:restartNumberingAfterBreak="0">
    <w:nsid w:val="07F68704"/>
    <w:multiLevelType w:val="singleLevel"/>
    <w:tmpl w:val="35B647FA"/>
    <w:lvl w:ilvl="0">
      <w:start w:val="4"/>
      <w:numFmt w:val="decimal"/>
      <w:lvlText w:val="%1.-"/>
      <w:lvlJc w:val="left"/>
      <w:pPr>
        <w:tabs>
          <w:tab w:val="num" w:pos="432"/>
        </w:tabs>
        <w:ind w:left="72"/>
      </w:pPr>
      <w:rPr>
        <w:b/>
        <w:bCs/>
        <w:snapToGrid/>
        <w:spacing w:val="-2"/>
        <w:sz w:val="24"/>
        <w:szCs w:val="24"/>
      </w:rPr>
    </w:lvl>
  </w:abstractNum>
  <w:num w:numId="1">
    <w:abstractNumId w:val="0"/>
  </w:num>
  <w:num w:numId="2">
    <w:abstractNumId w:val="2"/>
  </w:num>
  <w:num w:numId="3">
    <w:abstractNumId w:val="3"/>
  </w:num>
  <w:num w:numId="4">
    <w:abstractNumId w:val="4"/>
  </w:num>
  <w:num w:numId="5">
    <w:abstractNumId w:val="1"/>
  </w:num>
  <w:num w:numId="6">
    <w:abstractNumId w:val="1"/>
    <w:lvlOverride w:ilvl="0">
      <w:lvl w:ilvl="0">
        <w:numFmt w:val="upperRoman"/>
        <w:lvlText w:val="%1.-"/>
        <w:lvlJc w:val="left"/>
        <w:pPr>
          <w:tabs>
            <w:tab w:val="num" w:pos="1080"/>
          </w:tabs>
          <w:ind w:left="360"/>
        </w:pPr>
        <w:rPr>
          <w:snapToGrid/>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335"/>
    <w:rsid w:val="00DA0335"/>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AE31C"/>
  <w14:defaultImageDpi w14:val="0"/>
  <w15:docId w15:val="{E7DB43A0-5DDF-4361-A0B4-53FCB2F8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A0335"/>
    <w:rPr>
      <w:lang w:val="es-CR"/>
    </w:rPr>
  </w:style>
  <w:style w:type="character" w:customStyle="1" w:styleId="CharacterStyle1">
    <w:name w:val="Character Style 1"/>
    <w:uiPriority w:val="99"/>
    <w:rsid w:val="00DA033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11275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2017-08-03T14:40:00Z</dcterms:created>
  <dcterms:modified xsi:type="dcterms:W3CDTF">2017-08-03T14:40:00Z</dcterms:modified>
</cp:coreProperties>
</file>